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72" w:rsidRPr="00EF106F" w:rsidRDefault="00536DA0">
      <w:pPr>
        <w:rPr>
          <w:b/>
        </w:rPr>
      </w:pPr>
      <w:r w:rsidRPr="00EF106F">
        <w:rPr>
          <w:b/>
        </w:rPr>
        <w:t xml:space="preserve">Coca-Cola European Partners plc – Results of </w:t>
      </w:r>
      <w:r w:rsidR="00175F32">
        <w:rPr>
          <w:b/>
        </w:rPr>
        <w:t>2020</w:t>
      </w:r>
      <w:r w:rsidRPr="00EF106F">
        <w:rPr>
          <w:b/>
        </w:rPr>
        <w:t xml:space="preserve"> Annual General Meeting</w:t>
      </w:r>
    </w:p>
    <w:p w:rsidR="00A20AC1" w:rsidRPr="00EF106F" w:rsidRDefault="006E5330"/>
    <w:p w:rsidR="00A20AC1" w:rsidRPr="00EF106F" w:rsidRDefault="00536DA0">
      <w:r w:rsidRPr="00EF106F">
        <w:t xml:space="preserve">The Annual General Meeting of Coca-Cola European Partners plc </w:t>
      </w:r>
      <w:r w:rsidRPr="00EF106F">
        <w:rPr>
          <w:rFonts w:eastAsia="Times New Roman"/>
          <w:lang w:val="en-US"/>
        </w:rPr>
        <w:t>(the “</w:t>
      </w:r>
      <w:r w:rsidRPr="00EF106F">
        <w:rPr>
          <w:rFonts w:eastAsia="Times New Roman"/>
          <w:b/>
          <w:lang w:val="en-US"/>
        </w:rPr>
        <w:t>Company</w:t>
      </w:r>
      <w:r w:rsidRPr="00EF106F">
        <w:rPr>
          <w:rFonts w:eastAsia="Times New Roman"/>
          <w:lang w:val="en-US"/>
        </w:rPr>
        <w:t xml:space="preserve">”) </w:t>
      </w:r>
      <w:r w:rsidRPr="00EF106F">
        <w:t xml:space="preserve">was held at </w:t>
      </w:r>
      <w:r w:rsidR="00297643">
        <w:t>Pemberton House, Bakers Road, Uxbridge UB8 1EZ</w:t>
      </w:r>
      <w:r w:rsidRPr="00EF106F">
        <w:t xml:space="preserve"> on </w:t>
      </w:r>
      <w:r w:rsidR="00297643">
        <w:t>2</w:t>
      </w:r>
      <w:r w:rsidR="006F632C">
        <w:t>7</w:t>
      </w:r>
      <w:r w:rsidR="00297643">
        <w:t xml:space="preserve"> May </w:t>
      </w:r>
      <w:r w:rsidR="006F632C">
        <w:t>2020</w:t>
      </w:r>
      <w:r w:rsidRPr="00EF106F">
        <w:t>.</w:t>
      </w:r>
      <w:bookmarkStart w:id="0" w:name="_GoBack"/>
      <w:bookmarkEnd w:id="0"/>
    </w:p>
    <w:p w:rsidR="00A20AC1" w:rsidRPr="00EF106F" w:rsidRDefault="006E5330"/>
    <w:p w:rsidR="00A20AC1" w:rsidRPr="00EF106F" w:rsidRDefault="00297643">
      <w:r w:rsidRPr="00C758D3">
        <w:t xml:space="preserve">All </w:t>
      </w:r>
      <w:r w:rsidR="006F632C">
        <w:t>25</w:t>
      </w:r>
      <w:r w:rsidR="00536DA0" w:rsidRPr="00C758D3">
        <w:t xml:space="preserve"> resolutions put to the </w:t>
      </w:r>
      <w:r w:rsidR="000313C2">
        <w:t xml:space="preserve">members were passed on a poll. </w:t>
      </w:r>
      <w:r w:rsidR="00536DA0" w:rsidRPr="00C758D3">
        <w:t xml:space="preserve">Accordingly, resolutions 1 to </w:t>
      </w:r>
      <w:r w:rsidR="006F632C">
        <w:t>21</w:t>
      </w:r>
      <w:r w:rsidR="00536DA0" w:rsidRPr="00C758D3">
        <w:t xml:space="preserve"> were passed as ordinar</w:t>
      </w:r>
      <w:r w:rsidRPr="00C758D3">
        <w:t xml:space="preserve">y resolutions and resolutions </w:t>
      </w:r>
      <w:r w:rsidR="006F632C">
        <w:t>22</w:t>
      </w:r>
      <w:r w:rsidR="00536DA0" w:rsidRPr="00C758D3">
        <w:t xml:space="preserve"> to </w:t>
      </w:r>
      <w:r w:rsidR="006F632C">
        <w:t>25</w:t>
      </w:r>
      <w:r w:rsidR="00536DA0" w:rsidRPr="00C758D3">
        <w:t xml:space="preserve"> were passed as special resolutions.</w:t>
      </w:r>
    </w:p>
    <w:p w:rsidR="00A20AC1" w:rsidRPr="00EF106F" w:rsidRDefault="006E5330"/>
    <w:p w:rsidR="00A20AC1" w:rsidRPr="00EF106F" w:rsidRDefault="00536DA0" w:rsidP="00F945CD">
      <w:r w:rsidRPr="00EF106F">
        <w:t>The results of the polls are set out below:</w:t>
      </w:r>
    </w:p>
    <w:p w:rsidR="00A20AC1" w:rsidRPr="00EF106F" w:rsidRDefault="006E5330" w:rsidP="004569D7"/>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5"/>
        <w:gridCol w:w="1330"/>
        <w:gridCol w:w="895"/>
        <w:gridCol w:w="1226"/>
        <w:gridCol w:w="895"/>
        <w:gridCol w:w="1466"/>
        <w:gridCol w:w="1559"/>
      </w:tblGrid>
      <w:tr w:rsidR="004569D7" w:rsidRPr="00EF106F" w:rsidTr="004569D7">
        <w:trPr>
          <w:cantSplit/>
          <w:trHeight w:val="280"/>
          <w:tblHeader/>
        </w:trPr>
        <w:tc>
          <w:tcPr>
            <w:tcW w:w="2972" w:type="dxa"/>
            <w:gridSpan w:val="2"/>
            <w:vMerge w:val="restart"/>
            <w:shd w:val="clear" w:color="auto" w:fill="auto"/>
            <w:noWrap/>
          </w:tcPr>
          <w:p w:rsidR="004569D7" w:rsidRPr="00EF106F" w:rsidRDefault="004569D7" w:rsidP="00A20AC1">
            <w:pPr>
              <w:rPr>
                <w:b/>
              </w:rPr>
            </w:pPr>
            <w:r w:rsidRPr="00EF106F">
              <w:rPr>
                <w:b/>
              </w:rPr>
              <w:t>Resolution</w:t>
            </w:r>
          </w:p>
        </w:tc>
        <w:tc>
          <w:tcPr>
            <w:tcW w:w="2225" w:type="dxa"/>
            <w:gridSpan w:val="2"/>
          </w:tcPr>
          <w:p w:rsidR="004569D7" w:rsidRPr="00EF106F" w:rsidRDefault="004569D7" w:rsidP="00103D53">
            <w:pPr>
              <w:jc w:val="center"/>
              <w:rPr>
                <w:b/>
              </w:rPr>
            </w:pPr>
            <w:r w:rsidRPr="00EF106F">
              <w:rPr>
                <w:b/>
              </w:rPr>
              <w:t>For (see note 1)</w:t>
            </w:r>
          </w:p>
        </w:tc>
        <w:tc>
          <w:tcPr>
            <w:tcW w:w="2121" w:type="dxa"/>
            <w:gridSpan w:val="2"/>
          </w:tcPr>
          <w:p w:rsidR="004569D7" w:rsidRPr="00EF106F" w:rsidRDefault="004569D7" w:rsidP="00103D53">
            <w:pPr>
              <w:jc w:val="center"/>
              <w:rPr>
                <w:b/>
              </w:rPr>
            </w:pPr>
            <w:r w:rsidRPr="00EF106F">
              <w:rPr>
                <w:b/>
              </w:rPr>
              <w:t>Against (see note 1)</w:t>
            </w:r>
          </w:p>
        </w:tc>
        <w:tc>
          <w:tcPr>
            <w:tcW w:w="1466" w:type="dxa"/>
            <w:vMerge w:val="restart"/>
          </w:tcPr>
          <w:p w:rsidR="004569D7" w:rsidRPr="00EF106F" w:rsidRDefault="004569D7" w:rsidP="004569D7">
            <w:pPr>
              <w:jc w:val="center"/>
              <w:rPr>
                <w:b/>
              </w:rPr>
            </w:pPr>
            <w:r>
              <w:rPr>
                <w:b/>
              </w:rPr>
              <w:t>Issued share capital represented by votes (see note 2) %</w:t>
            </w:r>
          </w:p>
        </w:tc>
        <w:tc>
          <w:tcPr>
            <w:tcW w:w="1559" w:type="dxa"/>
            <w:vMerge w:val="restart"/>
          </w:tcPr>
          <w:p w:rsidR="004569D7" w:rsidRPr="00EF106F" w:rsidRDefault="004569D7" w:rsidP="00103D53">
            <w:pPr>
              <w:jc w:val="center"/>
              <w:rPr>
                <w:b/>
              </w:rPr>
            </w:pPr>
            <w:r w:rsidRPr="00EF106F">
              <w:rPr>
                <w:b/>
              </w:rPr>
              <w:t>V</w:t>
            </w:r>
            <w:r>
              <w:rPr>
                <w:b/>
              </w:rPr>
              <w:t>otes withheld (see note 3</w:t>
            </w:r>
            <w:r w:rsidRPr="00EF106F">
              <w:rPr>
                <w:b/>
              </w:rPr>
              <w:t>)</w:t>
            </w:r>
          </w:p>
        </w:tc>
      </w:tr>
      <w:tr w:rsidR="004569D7" w:rsidRPr="00EF106F" w:rsidTr="004569D7">
        <w:trPr>
          <w:cantSplit/>
          <w:trHeight w:val="280"/>
          <w:tblHeader/>
        </w:trPr>
        <w:tc>
          <w:tcPr>
            <w:tcW w:w="2972" w:type="dxa"/>
            <w:gridSpan w:val="2"/>
            <w:vMerge/>
            <w:shd w:val="clear" w:color="auto" w:fill="auto"/>
            <w:noWrap/>
          </w:tcPr>
          <w:p w:rsidR="004569D7" w:rsidRPr="00EF106F" w:rsidRDefault="004569D7" w:rsidP="00A20AC1">
            <w:pPr>
              <w:rPr>
                <w:b/>
              </w:rPr>
            </w:pPr>
          </w:p>
        </w:tc>
        <w:tc>
          <w:tcPr>
            <w:tcW w:w="1330" w:type="dxa"/>
          </w:tcPr>
          <w:p w:rsidR="004569D7" w:rsidRPr="00EF106F" w:rsidRDefault="004569D7" w:rsidP="00A20AC1">
            <w:pPr>
              <w:jc w:val="right"/>
              <w:rPr>
                <w:b/>
              </w:rPr>
            </w:pPr>
            <w:r w:rsidRPr="00EF106F">
              <w:rPr>
                <w:b/>
              </w:rPr>
              <w:t>Votes</w:t>
            </w:r>
          </w:p>
        </w:tc>
        <w:tc>
          <w:tcPr>
            <w:tcW w:w="895" w:type="dxa"/>
          </w:tcPr>
          <w:p w:rsidR="004569D7" w:rsidRPr="00EF106F" w:rsidRDefault="004569D7" w:rsidP="0041333C">
            <w:pPr>
              <w:ind w:right="-20"/>
              <w:jc w:val="right"/>
              <w:rPr>
                <w:b/>
              </w:rPr>
            </w:pPr>
            <w:r w:rsidRPr="00EF106F">
              <w:rPr>
                <w:b/>
              </w:rPr>
              <w:t>%</w:t>
            </w:r>
          </w:p>
        </w:tc>
        <w:tc>
          <w:tcPr>
            <w:tcW w:w="1226" w:type="dxa"/>
          </w:tcPr>
          <w:p w:rsidR="004569D7" w:rsidRPr="00EF106F" w:rsidRDefault="004569D7" w:rsidP="00A20AC1">
            <w:pPr>
              <w:jc w:val="right"/>
              <w:rPr>
                <w:b/>
              </w:rPr>
            </w:pPr>
            <w:r w:rsidRPr="00EF106F">
              <w:rPr>
                <w:b/>
              </w:rPr>
              <w:t>Votes</w:t>
            </w:r>
          </w:p>
        </w:tc>
        <w:tc>
          <w:tcPr>
            <w:tcW w:w="895" w:type="dxa"/>
          </w:tcPr>
          <w:p w:rsidR="004569D7" w:rsidRPr="00EF106F" w:rsidRDefault="004569D7" w:rsidP="00A20AC1">
            <w:pPr>
              <w:jc w:val="right"/>
              <w:rPr>
                <w:b/>
              </w:rPr>
            </w:pPr>
            <w:r w:rsidRPr="00EF106F">
              <w:rPr>
                <w:b/>
              </w:rPr>
              <w:t>%</w:t>
            </w:r>
          </w:p>
        </w:tc>
        <w:tc>
          <w:tcPr>
            <w:tcW w:w="1466" w:type="dxa"/>
            <w:vMerge/>
          </w:tcPr>
          <w:p w:rsidR="004569D7" w:rsidRPr="00EF106F" w:rsidRDefault="004569D7" w:rsidP="00A20AC1">
            <w:pPr>
              <w:jc w:val="right"/>
              <w:rPr>
                <w:b/>
              </w:rPr>
            </w:pPr>
          </w:p>
        </w:tc>
        <w:tc>
          <w:tcPr>
            <w:tcW w:w="1559" w:type="dxa"/>
            <w:vMerge/>
          </w:tcPr>
          <w:p w:rsidR="004569D7" w:rsidRPr="00EF106F" w:rsidRDefault="004569D7" w:rsidP="00A20AC1">
            <w:pPr>
              <w:jc w:val="right"/>
              <w:rPr>
                <w:b/>
              </w:rPr>
            </w:pP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w:t>
            </w:r>
          </w:p>
        </w:tc>
        <w:tc>
          <w:tcPr>
            <w:tcW w:w="2405" w:type="dxa"/>
            <w:shd w:val="clear" w:color="auto" w:fill="auto"/>
            <w:noWrap/>
            <w:vAlign w:val="center"/>
            <w:hideMark/>
          </w:tcPr>
          <w:p w:rsidR="0041333C" w:rsidRDefault="0041333C" w:rsidP="0041333C">
            <w:pPr>
              <w:rPr>
                <w:color w:val="000000"/>
              </w:rPr>
            </w:pPr>
            <w:r>
              <w:rPr>
                <w:color w:val="000000"/>
              </w:rPr>
              <w:t>Receipt of the Report and Accounts</w:t>
            </w:r>
          </w:p>
        </w:tc>
        <w:tc>
          <w:tcPr>
            <w:tcW w:w="1330" w:type="dxa"/>
            <w:vAlign w:val="center"/>
          </w:tcPr>
          <w:p w:rsidR="0041333C" w:rsidRDefault="0041333C" w:rsidP="0041333C">
            <w:pPr>
              <w:jc w:val="right"/>
              <w:rPr>
                <w:color w:val="000000"/>
              </w:rPr>
            </w:pPr>
            <w:r>
              <w:rPr>
                <w:color w:val="000000"/>
              </w:rPr>
              <w:t>392,183,394</w:t>
            </w:r>
          </w:p>
        </w:tc>
        <w:tc>
          <w:tcPr>
            <w:tcW w:w="895" w:type="dxa"/>
            <w:vAlign w:val="center"/>
          </w:tcPr>
          <w:p w:rsidR="0041333C" w:rsidRPr="00EC1F34" w:rsidRDefault="0041333C" w:rsidP="0041333C">
            <w:pPr>
              <w:jc w:val="right"/>
              <w:rPr>
                <w:color w:val="000000"/>
              </w:rPr>
            </w:pPr>
            <w:r w:rsidRPr="00EC1F34">
              <w:rPr>
                <w:color w:val="000000"/>
              </w:rPr>
              <w:t>99.99%</w:t>
            </w:r>
          </w:p>
        </w:tc>
        <w:tc>
          <w:tcPr>
            <w:tcW w:w="1226" w:type="dxa"/>
            <w:vAlign w:val="center"/>
          </w:tcPr>
          <w:p w:rsidR="0041333C" w:rsidRPr="00EC1F34" w:rsidRDefault="0041333C" w:rsidP="0041333C">
            <w:pPr>
              <w:jc w:val="right"/>
              <w:rPr>
                <w:color w:val="000000"/>
              </w:rPr>
            </w:pPr>
            <w:r w:rsidRPr="00EC1F34">
              <w:rPr>
                <w:color w:val="000000"/>
              </w:rPr>
              <w:t>14,881</w:t>
            </w:r>
          </w:p>
        </w:tc>
        <w:tc>
          <w:tcPr>
            <w:tcW w:w="895" w:type="dxa"/>
            <w:vAlign w:val="center"/>
          </w:tcPr>
          <w:p w:rsidR="0041333C" w:rsidRPr="00EC1F34" w:rsidRDefault="0041333C" w:rsidP="0041333C">
            <w:pPr>
              <w:jc w:val="right"/>
              <w:rPr>
                <w:color w:val="000000"/>
              </w:rPr>
            </w:pPr>
            <w:r w:rsidRPr="00EC1F34">
              <w:rPr>
                <w:color w:val="000000"/>
              </w:rPr>
              <w:t>0.01%</w:t>
            </w:r>
          </w:p>
        </w:tc>
        <w:tc>
          <w:tcPr>
            <w:tcW w:w="1466" w:type="dxa"/>
            <w:vAlign w:val="center"/>
          </w:tcPr>
          <w:p w:rsidR="0041333C" w:rsidRDefault="0041333C" w:rsidP="0041333C">
            <w:pPr>
              <w:jc w:val="right"/>
              <w:rPr>
                <w:color w:val="000000"/>
              </w:rPr>
            </w:pPr>
            <w:r>
              <w:rPr>
                <w:color w:val="000000"/>
              </w:rPr>
              <w:t>86.36%</w:t>
            </w:r>
          </w:p>
        </w:tc>
        <w:tc>
          <w:tcPr>
            <w:tcW w:w="1559" w:type="dxa"/>
            <w:vAlign w:val="center"/>
          </w:tcPr>
          <w:p w:rsidR="0041333C" w:rsidRDefault="0041333C" w:rsidP="0041333C">
            <w:pPr>
              <w:jc w:val="right"/>
              <w:rPr>
                <w:color w:val="000000"/>
              </w:rPr>
            </w:pPr>
            <w:r>
              <w:rPr>
                <w:color w:val="000000"/>
              </w:rPr>
              <w:t>551,707</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2</w:t>
            </w:r>
          </w:p>
        </w:tc>
        <w:tc>
          <w:tcPr>
            <w:tcW w:w="2405" w:type="dxa"/>
            <w:shd w:val="clear" w:color="auto" w:fill="auto"/>
            <w:noWrap/>
            <w:vAlign w:val="center"/>
            <w:hideMark/>
          </w:tcPr>
          <w:p w:rsidR="0041333C" w:rsidRDefault="0041333C" w:rsidP="0041333C">
            <w:pPr>
              <w:rPr>
                <w:color w:val="000000"/>
              </w:rPr>
            </w:pPr>
            <w:r>
              <w:rPr>
                <w:color w:val="000000"/>
              </w:rPr>
              <w:t>Approval of the Directors’ Remuneration Policy</w:t>
            </w:r>
          </w:p>
        </w:tc>
        <w:tc>
          <w:tcPr>
            <w:tcW w:w="1330" w:type="dxa"/>
            <w:vAlign w:val="center"/>
          </w:tcPr>
          <w:p w:rsidR="0041333C" w:rsidRDefault="0041333C" w:rsidP="0041333C">
            <w:pPr>
              <w:jc w:val="right"/>
              <w:rPr>
                <w:color w:val="000000"/>
              </w:rPr>
            </w:pPr>
            <w:r>
              <w:rPr>
                <w:color w:val="000000"/>
              </w:rPr>
              <w:t>390,642,124</w:t>
            </w:r>
          </w:p>
        </w:tc>
        <w:tc>
          <w:tcPr>
            <w:tcW w:w="895" w:type="dxa"/>
            <w:vAlign w:val="center"/>
          </w:tcPr>
          <w:p w:rsidR="0041333C" w:rsidRDefault="0041333C" w:rsidP="0041333C">
            <w:pPr>
              <w:jc w:val="right"/>
              <w:rPr>
                <w:color w:val="000000"/>
              </w:rPr>
            </w:pPr>
            <w:r>
              <w:rPr>
                <w:color w:val="000000"/>
              </w:rPr>
              <w:t>99.48%</w:t>
            </w:r>
          </w:p>
        </w:tc>
        <w:tc>
          <w:tcPr>
            <w:tcW w:w="1226" w:type="dxa"/>
            <w:vAlign w:val="center"/>
          </w:tcPr>
          <w:p w:rsidR="0041333C" w:rsidRDefault="0041333C" w:rsidP="0041333C">
            <w:pPr>
              <w:jc w:val="right"/>
              <w:rPr>
                <w:color w:val="000000"/>
              </w:rPr>
            </w:pPr>
            <w:r>
              <w:rPr>
                <w:color w:val="000000"/>
              </w:rPr>
              <w:t>2,051,225</w:t>
            </w:r>
          </w:p>
        </w:tc>
        <w:tc>
          <w:tcPr>
            <w:tcW w:w="895" w:type="dxa"/>
            <w:vAlign w:val="center"/>
          </w:tcPr>
          <w:p w:rsidR="0041333C" w:rsidRDefault="0041333C" w:rsidP="0041333C">
            <w:pPr>
              <w:jc w:val="right"/>
              <w:rPr>
                <w:color w:val="000000"/>
              </w:rPr>
            </w:pPr>
            <w:r>
              <w:rPr>
                <w:color w:val="000000"/>
              </w:rPr>
              <w:t>0.52%</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56,633</w:t>
            </w:r>
          </w:p>
        </w:tc>
      </w:tr>
      <w:tr w:rsidR="0041333C" w:rsidRPr="00EF106F" w:rsidTr="00E87C7F">
        <w:trPr>
          <w:cantSplit/>
          <w:trHeight w:val="280"/>
        </w:trPr>
        <w:tc>
          <w:tcPr>
            <w:tcW w:w="567" w:type="dxa"/>
            <w:shd w:val="clear" w:color="auto" w:fill="auto"/>
            <w:noWrap/>
          </w:tcPr>
          <w:p w:rsidR="0041333C" w:rsidRPr="00EF106F" w:rsidRDefault="0041333C" w:rsidP="0041333C">
            <w:r w:rsidRPr="00EF106F">
              <w:t>3</w:t>
            </w:r>
          </w:p>
        </w:tc>
        <w:tc>
          <w:tcPr>
            <w:tcW w:w="2405" w:type="dxa"/>
            <w:shd w:val="clear" w:color="auto" w:fill="auto"/>
            <w:noWrap/>
            <w:vAlign w:val="center"/>
          </w:tcPr>
          <w:p w:rsidR="0041333C" w:rsidRDefault="0041333C" w:rsidP="0041333C">
            <w:pPr>
              <w:rPr>
                <w:color w:val="000000"/>
              </w:rPr>
            </w:pPr>
            <w:r>
              <w:rPr>
                <w:color w:val="000000"/>
              </w:rPr>
              <w:t>Approval of the Directors’ Remuneration Report</w:t>
            </w:r>
          </w:p>
        </w:tc>
        <w:tc>
          <w:tcPr>
            <w:tcW w:w="1330" w:type="dxa"/>
            <w:vAlign w:val="center"/>
          </w:tcPr>
          <w:p w:rsidR="0041333C" w:rsidRDefault="0041333C" w:rsidP="0041333C">
            <w:pPr>
              <w:jc w:val="right"/>
              <w:rPr>
                <w:color w:val="000000"/>
              </w:rPr>
            </w:pPr>
            <w:r>
              <w:rPr>
                <w:color w:val="000000"/>
              </w:rPr>
              <w:t>389,159,565</w:t>
            </w:r>
          </w:p>
        </w:tc>
        <w:tc>
          <w:tcPr>
            <w:tcW w:w="895" w:type="dxa"/>
            <w:vAlign w:val="center"/>
          </w:tcPr>
          <w:p w:rsidR="0041333C" w:rsidRDefault="0041333C" w:rsidP="0041333C">
            <w:pPr>
              <w:jc w:val="right"/>
              <w:rPr>
                <w:color w:val="000000"/>
              </w:rPr>
            </w:pPr>
            <w:r>
              <w:rPr>
                <w:color w:val="000000"/>
              </w:rPr>
              <w:t>99.15%</w:t>
            </w:r>
          </w:p>
        </w:tc>
        <w:tc>
          <w:tcPr>
            <w:tcW w:w="1226" w:type="dxa"/>
            <w:vAlign w:val="center"/>
          </w:tcPr>
          <w:p w:rsidR="0041333C" w:rsidRDefault="0041333C" w:rsidP="0041333C">
            <w:pPr>
              <w:jc w:val="right"/>
              <w:rPr>
                <w:color w:val="000000"/>
              </w:rPr>
            </w:pPr>
            <w:r>
              <w:rPr>
                <w:color w:val="000000"/>
              </w:rPr>
              <w:t>3,348,477</w:t>
            </w:r>
          </w:p>
        </w:tc>
        <w:tc>
          <w:tcPr>
            <w:tcW w:w="895" w:type="dxa"/>
            <w:vAlign w:val="center"/>
          </w:tcPr>
          <w:p w:rsidR="0041333C" w:rsidRDefault="0041333C" w:rsidP="0041333C">
            <w:pPr>
              <w:jc w:val="right"/>
              <w:rPr>
                <w:color w:val="000000"/>
              </w:rPr>
            </w:pPr>
            <w:r>
              <w:rPr>
                <w:color w:val="000000"/>
              </w:rPr>
              <w:t>0.85%</w:t>
            </w:r>
          </w:p>
        </w:tc>
        <w:tc>
          <w:tcPr>
            <w:tcW w:w="1466" w:type="dxa"/>
            <w:vAlign w:val="center"/>
          </w:tcPr>
          <w:p w:rsidR="0041333C" w:rsidRDefault="0041333C" w:rsidP="0041333C">
            <w:pPr>
              <w:jc w:val="right"/>
              <w:rPr>
                <w:color w:val="000000"/>
              </w:rPr>
            </w:pPr>
            <w:r>
              <w:rPr>
                <w:color w:val="000000"/>
              </w:rPr>
              <w:t>86.42%</w:t>
            </w:r>
          </w:p>
        </w:tc>
        <w:tc>
          <w:tcPr>
            <w:tcW w:w="1559" w:type="dxa"/>
            <w:vAlign w:val="center"/>
          </w:tcPr>
          <w:p w:rsidR="0041333C" w:rsidRDefault="0041333C" w:rsidP="0041333C">
            <w:pPr>
              <w:jc w:val="right"/>
              <w:rPr>
                <w:color w:val="000000"/>
              </w:rPr>
            </w:pPr>
            <w:r>
              <w:rPr>
                <w:color w:val="000000"/>
              </w:rPr>
              <w:t>241,</w:t>
            </w:r>
            <w:r w:rsidR="00D33C83">
              <w:rPr>
                <w:color w:val="000000"/>
              </w:rPr>
              <w:t>940</w:t>
            </w:r>
          </w:p>
        </w:tc>
      </w:tr>
      <w:tr w:rsidR="0041333C" w:rsidRPr="00EF106F" w:rsidTr="00E87C7F">
        <w:trPr>
          <w:cantSplit/>
          <w:trHeight w:val="280"/>
        </w:trPr>
        <w:tc>
          <w:tcPr>
            <w:tcW w:w="567" w:type="dxa"/>
            <w:shd w:val="clear" w:color="auto" w:fill="auto"/>
            <w:noWrap/>
          </w:tcPr>
          <w:p w:rsidR="0041333C" w:rsidRPr="00EF106F" w:rsidRDefault="0041333C" w:rsidP="0041333C">
            <w:r w:rsidRPr="00EF106F">
              <w:t>4</w:t>
            </w:r>
          </w:p>
        </w:tc>
        <w:tc>
          <w:tcPr>
            <w:tcW w:w="2405" w:type="dxa"/>
            <w:shd w:val="clear" w:color="auto" w:fill="auto"/>
            <w:noWrap/>
            <w:vAlign w:val="center"/>
          </w:tcPr>
          <w:p w:rsidR="0041333C" w:rsidRDefault="0041333C" w:rsidP="0041333C">
            <w:pPr>
              <w:rPr>
                <w:color w:val="000000"/>
              </w:rPr>
            </w:pPr>
            <w:r>
              <w:rPr>
                <w:color w:val="000000"/>
              </w:rPr>
              <w:t>Election of Jan Bennink as a director of the Company</w:t>
            </w:r>
          </w:p>
        </w:tc>
        <w:tc>
          <w:tcPr>
            <w:tcW w:w="1330" w:type="dxa"/>
            <w:vAlign w:val="center"/>
          </w:tcPr>
          <w:p w:rsidR="0041333C" w:rsidRDefault="0041333C" w:rsidP="0041333C">
            <w:pPr>
              <w:jc w:val="right"/>
              <w:rPr>
                <w:color w:val="000000"/>
              </w:rPr>
            </w:pPr>
            <w:r>
              <w:rPr>
                <w:color w:val="000000"/>
              </w:rPr>
              <w:t>391,583,576</w:t>
            </w:r>
          </w:p>
        </w:tc>
        <w:tc>
          <w:tcPr>
            <w:tcW w:w="895" w:type="dxa"/>
            <w:vAlign w:val="center"/>
          </w:tcPr>
          <w:p w:rsidR="0041333C" w:rsidRDefault="0041333C" w:rsidP="0041333C">
            <w:pPr>
              <w:jc w:val="right"/>
              <w:rPr>
                <w:color w:val="000000"/>
              </w:rPr>
            </w:pPr>
            <w:r>
              <w:rPr>
                <w:color w:val="000000"/>
              </w:rPr>
              <w:t>99.71%</w:t>
            </w:r>
          </w:p>
        </w:tc>
        <w:tc>
          <w:tcPr>
            <w:tcW w:w="1226" w:type="dxa"/>
            <w:vAlign w:val="center"/>
          </w:tcPr>
          <w:p w:rsidR="0041333C" w:rsidRDefault="0041333C" w:rsidP="0041333C">
            <w:pPr>
              <w:jc w:val="right"/>
              <w:rPr>
                <w:color w:val="000000"/>
              </w:rPr>
            </w:pPr>
            <w:r>
              <w:rPr>
                <w:color w:val="000000"/>
              </w:rPr>
              <w:t>1,127,074</w:t>
            </w:r>
          </w:p>
        </w:tc>
        <w:tc>
          <w:tcPr>
            <w:tcW w:w="895" w:type="dxa"/>
            <w:vAlign w:val="center"/>
          </w:tcPr>
          <w:p w:rsidR="0041333C" w:rsidRDefault="0041333C" w:rsidP="0041333C">
            <w:pPr>
              <w:jc w:val="right"/>
              <w:rPr>
                <w:color w:val="000000"/>
              </w:rPr>
            </w:pPr>
            <w:r>
              <w:rPr>
                <w:color w:val="000000"/>
              </w:rPr>
              <w:t>0.29%</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39,</w:t>
            </w:r>
            <w:r w:rsidR="006F2FF1">
              <w:rPr>
                <w:color w:val="000000"/>
              </w:rPr>
              <w:t>332</w:t>
            </w:r>
          </w:p>
        </w:tc>
      </w:tr>
      <w:tr w:rsidR="0041333C" w:rsidRPr="00EF106F" w:rsidTr="00E87C7F">
        <w:trPr>
          <w:cantSplit/>
          <w:trHeight w:val="280"/>
        </w:trPr>
        <w:tc>
          <w:tcPr>
            <w:tcW w:w="567" w:type="dxa"/>
            <w:shd w:val="clear" w:color="auto" w:fill="auto"/>
            <w:noWrap/>
          </w:tcPr>
          <w:p w:rsidR="0041333C" w:rsidRPr="00EF106F" w:rsidRDefault="0041333C" w:rsidP="0041333C">
            <w:r w:rsidRPr="00EF106F">
              <w:t>5</w:t>
            </w:r>
          </w:p>
        </w:tc>
        <w:tc>
          <w:tcPr>
            <w:tcW w:w="2405" w:type="dxa"/>
            <w:shd w:val="clear" w:color="auto" w:fill="auto"/>
            <w:noWrap/>
            <w:vAlign w:val="center"/>
          </w:tcPr>
          <w:p w:rsidR="0041333C" w:rsidRDefault="0041333C" w:rsidP="0041333C">
            <w:pPr>
              <w:rPr>
                <w:color w:val="000000"/>
              </w:rPr>
            </w:pPr>
            <w:r>
              <w:rPr>
                <w:color w:val="000000"/>
              </w:rPr>
              <w:t>Election of Thomas H. Johnson as a director of the Company</w:t>
            </w:r>
          </w:p>
        </w:tc>
        <w:tc>
          <w:tcPr>
            <w:tcW w:w="1330" w:type="dxa"/>
            <w:vAlign w:val="center"/>
          </w:tcPr>
          <w:p w:rsidR="0041333C" w:rsidRDefault="0041333C" w:rsidP="0041333C">
            <w:pPr>
              <w:jc w:val="right"/>
              <w:rPr>
                <w:color w:val="000000"/>
              </w:rPr>
            </w:pPr>
            <w:r>
              <w:rPr>
                <w:color w:val="000000"/>
              </w:rPr>
              <w:t>385,008,802</w:t>
            </w:r>
          </w:p>
        </w:tc>
        <w:tc>
          <w:tcPr>
            <w:tcW w:w="895" w:type="dxa"/>
            <w:vAlign w:val="center"/>
          </w:tcPr>
          <w:p w:rsidR="0041333C" w:rsidRDefault="0041333C" w:rsidP="0041333C">
            <w:pPr>
              <w:jc w:val="right"/>
              <w:rPr>
                <w:color w:val="000000"/>
              </w:rPr>
            </w:pPr>
            <w:r>
              <w:rPr>
                <w:color w:val="000000"/>
              </w:rPr>
              <w:t>98.07%</w:t>
            </w:r>
          </w:p>
        </w:tc>
        <w:tc>
          <w:tcPr>
            <w:tcW w:w="1226" w:type="dxa"/>
            <w:vAlign w:val="center"/>
          </w:tcPr>
          <w:p w:rsidR="0041333C" w:rsidRDefault="0041333C" w:rsidP="0041333C">
            <w:pPr>
              <w:jc w:val="right"/>
              <w:rPr>
                <w:color w:val="000000"/>
              </w:rPr>
            </w:pPr>
            <w:r>
              <w:rPr>
                <w:color w:val="000000"/>
              </w:rPr>
              <w:t>7,570,542</w:t>
            </w:r>
          </w:p>
        </w:tc>
        <w:tc>
          <w:tcPr>
            <w:tcW w:w="895" w:type="dxa"/>
            <w:vAlign w:val="center"/>
          </w:tcPr>
          <w:p w:rsidR="0041333C" w:rsidRDefault="0041333C" w:rsidP="0041333C">
            <w:pPr>
              <w:jc w:val="right"/>
              <w:rPr>
                <w:color w:val="000000"/>
              </w:rPr>
            </w:pPr>
            <w:r>
              <w:rPr>
                <w:color w:val="000000"/>
              </w:rPr>
              <w:t>1.93%</w:t>
            </w:r>
          </w:p>
        </w:tc>
        <w:tc>
          <w:tcPr>
            <w:tcW w:w="1466" w:type="dxa"/>
            <w:vAlign w:val="center"/>
          </w:tcPr>
          <w:p w:rsidR="0041333C" w:rsidRDefault="0041333C" w:rsidP="0041333C">
            <w:pPr>
              <w:jc w:val="right"/>
              <w:rPr>
                <w:color w:val="000000"/>
              </w:rPr>
            </w:pPr>
            <w:r>
              <w:rPr>
                <w:color w:val="000000"/>
              </w:rPr>
              <w:t>86.44%</w:t>
            </w:r>
          </w:p>
        </w:tc>
        <w:tc>
          <w:tcPr>
            <w:tcW w:w="1559" w:type="dxa"/>
            <w:vAlign w:val="center"/>
          </w:tcPr>
          <w:p w:rsidR="0041333C" w:rsidRDefault="00526207" w:rsidP="0041333C">
            <w:pPr>
              <w:jc w:val="right"/>
              <w:rPr>
                <w:color w:val="000000"/>
              </w:rPr>
            </w:pPr>
            <w:r>
              <w:rPr>
                <w:color w:val="000000"/>
              </w:rPr>
              <w:t>170,638</w:t>
            </w:r>
          </w:p>
        </w:tc>
      </w:tr>
      <w:tr w:rsidR="0041333C" w:rsidRPr="00EF106F" w:rsidTr="00E87C7F">
        <w:trPr>
          <w:cantSplit/>
          <w:trHeight w:val="280"/>
        </w:trPr>
        <w:tc>
          <w:tcPr>
            <w:tcW w:w="567" w:type="dxa"/>
            <w:shd w:val="clear" w:color="auto" w:fill="auto"/>
            <w:noWrap/>
            <w:hideMark/>
          </w:tcPr>
          <w:p w:rsidR="0041333C" w:rsidRPr="00EF106F" w:rsidRDefault="0041333C" w:rsidP="0041333C">
            <w:r>
              <w:t>6</w:t>
            </w:r>
          </w:p>
        </w:tc>
        <w:tc>
          <w:tcPr>
            <w:tcW w:w="2405" w:type="dxa"/>
            <w:shd w:val="clear" w:color="auto" w:fill="auto"/>
            <w:noWrap/>
            <w:vAlign w:val="center"/>
            <w:hideMark/>
          </w:tcPr>
          <w:p w:rsidR="0041333C" w:rsidRDefault="0041333C" w:rsidP="0041333C">
            <w:pPr>
              <w:rPr>
                <w:color w:val="000000"/>
              </w:rPr>
            </w:pPr>
            <w:r>
              <w:rPr>
                <w:color w:val="000000"/>
              </w:rPr>
              <w:t>Election of Dessi Temperley as a director of the Company</w:t>
            </w:r>
          </w:p>
        </w:tc>
        <w:tc>
          <w:tcPr>
            <w:tcW w:w="1330" w:type="dxa"/>
            <w:vAlign w:val="center"/>
          </w:tcPr>
          <w:p w:rsidR="0041333C" w:rsidRDefault="0041333C" w:rsidP="0041333C">
            <w:pPr>
              <w:jc w:val="right"/>
              <w:rPr>
                <w:color w:val="000000"/>
              </w:rPr>
            </w:pPr>
            <w:r>
              <w:rPr>
                <w:color w:val="000000"/>
              </w:rPr>
              <w:t>392,602,000</w:t>
            </w:r>
          </w:p>
        </w:tc>
        <w:tc>
          <w:tcPr>
            <w:tcW w:w="895" w:type="dxa"/>
            <w:vAlign w:val="center"/>
          </w:tcPr>
          <w:p w:rsidR="0041333C" w:rsidRDefault="0041333C" w:rsidP="0041333C">
            <w:pPr>
              <w:jc w:val="right"/>
              <w:rPr>
                <w:color w:val="000000"/>
              </w:rPr>
            </w:pPr>
            <w:r>
              <w:rPr>
                <w:color w:val="000000"/>
              </w:rPr>
              <w:t>99.97%</w:t>
            </w:r>
          </w:p>
        </w:tc>
        <w:tc>
          <w:tcPr>
            <w:tcW w:w="1226" w:type="dxa"/>
            <w:vAlign w:val="center"/>
          </w:tcPr>
          <w:p w:rsidR="0041333C" w:rsidRDefault="0041333C" w:rsidP="0041333C">
            <w:pPr>
              <w:jc w:val="right"/>
              <w:rPr>
                <w:color w:val="000000"/>
              </w:rPr>
            </w:pPr>
            <w:r>
              <w:rPr>
                <w:color w:val="000000"/>
              </w:rPr>
              <w:t>104,367</w:t>
            </w:r>
          </w:p>
        </w:tc>
        <w:tc>
          <w:tcPr>
            <w:tcW w:w="895" w:type="dxa"/>
            <w:vAlign w:val="center"/>
          </w:tcPr>
          <w:p w:rsidR="0041333C" w:rsidRDefault="0041333C" w:rsidP="0041333C">
            <w:pPr>
              <w:jc w:val="right"/>
              <w:rPr>
                <w:color w:val="000000"/>
              </w:rPr>
            </w:pPr>
            <w:r>
              <w:rPr>
                <w:color w:val="000000"/>
              </w:rPr>
              <w:t>0.03%</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43,</w:t>
            </w:r>
            <w:r w:rsidR="00526207">
              <w:rPr>
                <w:color w:val="000000"/>
              </w:rPr>
              <w:t>615</w:t>
            </w:r>
          </w:p>
        </w:tc>
      </w:tr>
      <w:tr w:rsidR="0041333C" w:rsidRPr="00EF106F" w:rsidTr="00E87C7F">
        <w:trPr>
          <w:cantSplit/>
          <w:trHeight w:val="280"/>
        </w:trPr>
        <w:tc>
          <w:tcPr>
            <w:tcW w:w="567" w:type="dxa"/>
            <w:shd w:val="clear" w:color="auto" w:fill="auto"/>
            <w:noWrap/>
            <w:hideMark/>
          </w:tcPr>
          <w:p w:rsidR="0041333C" w:rsidRPr="00EF106F" w:rsidRDefault="0041333C" w:rsidP="0041333C">
            <w:r>
              <w:t>7</w:t>
            </w:r>
          </w:p>
        </w:tc>
        <w:tc>
          <w:tcPr>
            <w:tcW w:w="2405" w:type="dxa"/>
            <w:shd w:val="clear" w:color="auto" w:fill="auto"/>
            <w:noWrap/>
            <w:vAlign w:val="center"/>
            <w:hideMark/>
          </w:tcPr>
          <w:p w:rsidR="0041333C" w:rsidRDefault="0041333C" w:rsidP="0041333C">
            <w:pPr>
              <w:rPr>
                <w:color w:val="000000"/>
              </w:rPr>
            </w:pPr>
            <w:r>
              <w:rPr>
                <w:color w:val="000000"/>
              </w:rPr>
              <w:t>Re-election of José Ignacio Comenge as a director of the Company</w:t>
            </w:r>
          </w:p>
        </w:tc>
        <w:tc>
          <w:tcPr>
            <w:tcW w:w="1330" w:type="dxa"/>
            <w:vAlign w:val="center"/>
          </w:tcPr>
          <w:p w:rsidR="0041333C" w:rsidRDefault="0041333C" w:rsidP="0041333C">
            <w:pPr>
              <w:jc w:val="right"/>
              <w:rPr>
                <w:color w:val="000000"/>
              </w:rPr>
            </w:pPr>
            <w:r>
              <w:rPr>
                <w:color w:val="000000"/>
              </w:rPr>
              <w:t>388,436,398</w:t>
            </w:r>
          </w:p>
        </w:tc>
        <w:tc>
          <w:tcPr>
            <w:tcW w:w="895" w:type="dxa"/>
            <w:vAlign w:val="center"/>
          </w:tcPr>
          <w:p w:rsidR="0041333C" w:rsidRDefault="0041333C" w:rsidP="0041333C">
            <w:pPr>
              <w:jc w:val="right"/>
              <w:rPr>
                <w:color w:val="000000"/>
              </w:rPr>
            </w:pPr>
            <w:r>
              <w:rPr>
                <w:color w:val="000000"/>
              </w:rPr>
              <w:t>98.92%</w:t>
            </w:r>
          </w:p>
        </w:tc>
        <w:tc>
          <w:tcPr>
            <w:tcW w:w="1226" w:type="dxa"/>
            <w:vAlign w:val="center"/>
          </w:tcPr>
          <w:p w:rsidR="0041333C" w:rsidRDefault="0041333C" w:rsidP="0041333C">
            <w:pPr>
              <w:jc w:val="right"/>
              <w:rPr>
                <w:color w:val="000000"/>
              </w:rPr>
            </w:pPr>
            <w:r>
              <w:rPr>
                <w:color w:val="000000"/>
              </w:rPr>
              <w:t>4,254,184</w:t>
            </w:r>
          </w:p>
        </w:tc>
        <w:tc>
          <w:tcPr>
            <w:tcW w:w="895" w:type="dxa"/>
            <w:vAlign w:val="center"/>
          </w:tcPr>
          <w:p w:rsidR="0041333C" w:rsidRDefault="0041333C" w:rsidP="0041333C">
            <w:pPr>
              <w:jc w:val="right"/>
              <w:rPr>
                <w:color w:val="000000"/>
              </w:rPr>
            </w:pPr>
            <w:r>
              <w:rPr>
                <w:color w:val="000000"/>
              </w:rPr>
              <w:t>1.08%</w:t>
            </w:r>
          </w:p>
        </w:tc>
        <w:tc>
          <w:tcPr>
            <w:tcW w:w="1466" w:type="dxa"/>
            <w:vAlign w:val="center"/>
          </w:tcPr>
          <w:p w:rsidR="0041333C" w:rsidRDefault="0041333C" w:rsidP="0041333C">
            <w:pPr>
              <w:jc w:val="right"/>
              <w:rPr>
                <w:color w:val="000000"/>
              </w:rPr>
            </w:pPr>
            <w:r>
              <w:rPr>
                <w:color w:val="000000"/>
              </w:rPr>
              <w:t>86.46%</w:t>
            </w:r>
          </w:p>
        </w:tc>
        <w:tc>
          <w:tcPr>
            <w:tcW w:w="1559" w:type="dxa"/>
            <w:vAlign w:val="center"/>
          </w:tcPr>
          <w:p w:rsidR="0041333C" w:rsidRDefault="0041333C" w:rsidP="0041333C">
            <w:pPr>
              <w:jc w:val="right"/>
              <w:rPr>
                <w:color w:val="000000"/>
              </w:rPr>
            </w:pPr>
            <w:r>
              <w:rPr>
                <w:color w:val="000000"/>
              </w:rPr>
              <w:t>59,</w:t>
            </w:r>
            <w:r w:rsidR="00526207">
              <w:rPr>
                <w:color w:val="000000"/>
              </w:rPr>
              <w:t>400</w:t>
            </w:r>
          </w:p>
        </w:tc>
      </w:tr>
      <w:tr w:rsidR="0041333C" w:rsidRPr="00EF106F" w:rsidTr="00E87C7F">
        <w:trPr>
          <w:cantSplit/>
          <w:trHeight w:val="280"/>
        </w:trPr>
        <w:tc>
          <w:tcPr>
            <w:tcW w:w="567" w:type="dxa"/>
            <w:shd w:val="clear" w:color="auto" w:fill="auto"/>
            <w:noWrap/>
            <w:hideMark/>
          </w:tcPr>
          <w:p w:rsidR="0041333C" w:rsidRPr="00EF106F" w:rsidRDefault="0041333C" w:rsidP="0041333C">
            <w:r>
              <w:t>8</w:t>
            </w:r>
          </w:p>
        </w:tc>
        <w:tc>
          <w:tcPr>
            <w:tcW w:w="2405" w:type="dxa"/>
            <w:shd w:val="clear" w:color="auto" w:fill="auto"/>
            <w:noWrap/>
            <w:vAlign w:val="center"/>
            <w:hideMark/>
          </w:tcPr>
          <w:p w:rsidR="0041333C" w:rsidRDefault="0041333C" w:rsidP="0041333C">
            <w:pPr>
              <w:rPr>
                <w:color w:val="000000"/>
              </w:rPr>
            </w:pPr>
            <w:r>
              <w:rPr>
                <w:color w:val="000000"/>
              </w:rPr>
              <w:t>Re-election of Francisco Crespo Benítez as a director of the Company</w:t>
            </w:r>
          </w:p>
        </w:tc>
        <w:tc>
          <w:tcPr>
            <w:tcW w:w="1330" w:type="dxa"/>
            <w:vAlign w:val="center"/>
          </w:tcPr>
          <w:p w:rsidR="0041333C" w:rsidRDefault="0041333C" w:rsidP="0041333C">
            <w:pPr>
              <w:jc w:val="right"/>
              <w:rPr>
                <w:color w:val="000000"/>
              </w:rPr>
            </w:pPr>
            <w:r>
              <w:rPr>
                <w:color w:val="000000"/>
              </w:rPr>
              <w:t>388,719,970</w:t>
            </w:r>
          </w:p>
        </w:tc>
        <w:tc>
          <w:tcPr>
            <w:tcW w:w="895" w:type="dxa"/>
            <w:vAlign w:val="center"/>
          </w:tcPr>
          <w:p w:rsidR="0041333C" w:rsidRDefault="0041333C" w:rsidP="0041333C">
            <w:pPr>
              <w:jc w:val="right"/>
              <w:rPr>
                <w:color w:val="000000"/>
              </w:rPr>
            </w:pPr>
            <w:r>
              <w:rPr>
                <w:color w:val="000000"/>
              </w:rPr>
              <w:t>98.99%</w:t>
            </w:r>
          </w:p>
        </w:tc>
        <w:tc>
          <w:tcPr>
            <w:tcW w:w="1226" w:type="dxa"/>
            <w:vAlign w:val="center"/>
          </w:tcPr>
          <w:p w:rsidR="0041333C" w:rsidRDefault="0041333C" w:rsidP="0041333C">
            <w:pPr>
              <w:jc w:val="right"/>
              <w:rPr>
                <w:color w:val="000000"/>
              </w:rPr>
            </w:pPr>
            <w:r>
              <w:rPr>
                <w:color w:val="000000"/>
              </w:rPr>
              <w:t>3,969,343</w:t>
            </w:r>
          </w:p>
        </w:tc>
        <w:tc>
          <w:tcPr>
            <w:tcW w:w="895" w:type="dxa"/>
            <w:vAlign w:val="center"/>
          </w:tcPr>
          <w:p w:rsidR="0041333C" w:rsidRDefault="0041333C" w:rsidP="0041333C">
            <w:pPr>
              <w:jc w:val="right"/>
              <w:rPr>
                <w:color w:val="000000"/>
              </w:rPr>
            </w:pPr>
            <w:r>
              <w:rPr>
                <w:color w:val="000000"/>
              </w:rPr>
              <w:t>1.01%</w:t>
            </w:r>
          </w:p>
        </w:tc>
        <w:tc>
          <w:tcPr>
            <w:tcW w:w="1466" w:type="dxa"/>
            <w:vAlign w:val="center"/>
          </w:tcPr>
          <w:p w:rsidR="0041333C" w:rsidRDefault="0041333C" w:rsidP="0041333C">
            <w:pPr>
              <w:jc w:val="right"/>
              <w:rPr>
                <w:color w:val="000000"/>
              </w:rPr>
            </w:pPr>
            <w:r>
              <w:rPr>
                <w:color w:val="000000"/>
              </w:rPr>
              <w:t>86.46%</w:t>
            </w:r>
          </w:p>
        </w:tc>
        <w:tc>
          <w:tcPr>
            <w:tcW w:w="1559" w:type="dxa"/>
            <w:vAlign w:val="center"/>
          </w:tcPr>
          <w:p w:rsidR="0041333C" w:rsidRDefault="0041333C" w:rsidP="0041333C">
            <w:pPr>
              <w:jc w:val="right"/>
              <w:rPr>
                <w:color w:val="000000"/>
              </w:rPr>
            </w:pPr>
            <w:r>
              <w:rPr>
                <w:color w:val="000000"/>
              </w:rPr>
              <w:t>60,</w:t>
            </w:r>
            <w:r w:rsidR="00526207">
              <w:rPr>
                <w:color w:val="000000"/>
              </w:rPr>
              <w:t>669</w:t>
            </w:r>
          </w:p>
        </w:tc>
      </w:tr>
      <w:tr w:rsidR="0041333C" w:rsidRPr="00EF106F" w:rsidTr="00E87C7F">
        <w:trPr>
          <w:cantSplit/>
          <w:trHeight w:val="280"/>
        </w:trPr>
        <w:tc>
          <w:tcPr>
            <w:tcW w:w="567" w:type="dxa"/>
            <w:shd w:val="clear" w:color="auto" w:fill="auto"/>
            <w:noWrap/>
            <w:hideMark/>
          </w:tcPr>
          <w:p w:rsidR="0041333C" w:rsidRPr="00EF106F" w:rsidRDefault="0041333C" w:rsidP="0041333C">
            <w:r>
              <w:t>9</w:t>
            </w:r>
          </w:p>
        </w:tc>
        <w:tc>
          <w:tcPr>
            <w:tcW w:w="2405" w:type="dxa"/>
            <w:shd w:val="clear" w:color="auto" w:fill="auto"/>
            <w:noWrap/>
            <w:vAlign w:val="center"/>
            <w:hideMark/>
          </w:tcPr>
          <w:p w:rsidR="0041333C" w:rsidRDefault="0041333C" w:rsidP="0041333C">
            <w:pPr>
              <w:rPr>
                <w:color w:val="000000"/>
              </w:rPr>
            </w:pPr>
            <w:r>
              <w:rPr>
                <w:color w:val="000000"/>
              </w:rPr>
              <w:t>Re-election of Irial Finan as a director of the Company</w:t>
            </w:r>
          </w:p>
        </w:tc>
        <w:tc>
          <w:tcPr>
            <w:tcW w:w="1330" w:type="dxa"/>
            <w:vAlign w:val="center"/>
          </w:tcPr>
          <w:p w:rsidR="0041333C" w:rsidRDefault="0041333C" w:rsidP="0041333C">
            <w:pPr>
              <w:jc w:val="right"/>
              <w:rPr>
                <w:color w:val="000000"/>
              </w:rPr>
            </w:pPr>
            <w:r>
              <w:rPr>
                <w:color w:val="000000"/>
              </w:rPr>
              <w:t>339,168,295</w:t>
            </w:r>
          </w:p>
        </w:tc>
        <w:tc>
          <w:tcPr>
            <w:tcW w:w="895" w:type="dxa"/>
            <w:vAlign w:val="center"/>
          </w:tcPr>
          <w:p w:rsidR="0041333C" w:rsidRDefault="0041333C" w:rsidP="0041333C">
            <w:pPr>
              <w:jc w:val="right"/>
              <w:rPr>
                <w:color w:val="000000"/>
              </w:rPr>
            </w:pPr>
            <w:r>
              <w:rPr>
                <w:color w:val="000000"/>
              </w:rPr>
              <w:t>86.74%</w:t>
            </w:r>
          </w:p>
        </w:tc>
        <w:tc>
          <w:tcPr>
            <w:tcW w:w="1226" w:type="dxa"/>
            <w:vAlign w:val="center"/>
          </w:tcPr>
          <w:p w:rsidR="0041333C" w:rsidRDefault="0041333C" w:rsidP="0041333C">
            <w:pPr>
              <w:jc w:val="right"/>
              <w:rPr>
                <w:color w:val="000000"/>
              </w:rPr>
            </w:pPr>
            <w:r>
              <w:rPr>
                <w:color w:val="000000"/>
              </w:rPr>
              <w:t>51,837,537</w:t>
            </w:r>
          </w:p>
        </w:tc>
        <w:tc>
          <w:tcPr>
            <w:tcW w:w="895" w:type="dxa"/>
            <w:vAlign w:val="center"/>
          </w:tcPr>
          <w:p w:rsidR="0041333C" w:rsidRDefault="0041333C" w:rsidP="0041333C">
            <w:pPr>
              <w:jc w:val="right"/>
              <w:rPr>
                <w:color w:val="000000"/>
              </w:rPr>
            </w:pPr>
            <w:r>
              <w:rPr>
                <w:color w:val="000000"/>
              </w:rPr>
              <w:t>13.26%</w:t>
            </w:r>
          </w:p>
        </w:tc>
        <w:tc>
          <w:tcPr>
            <w:tcW w:w="1466" w:type="dxa"/>
            <w:vAlign w:val="center"/>
          </w:tcPr>
          <w:p w:rsidR="0041333C" w:rsidRDefault="0041333C" w:rsidP="0041333C">
            <w:pPr>
              <w:jc w:val="right"/>
              <w:rPr>
                <w:color w:val="000000"/>
              </w:rPr>
            </w:pPr>
            <w:r>
              <w:rPr>
                <w:color w:val="000000"/>
              </w:rPr>
              <w:t>86.09%</w:t>
            </w:r>
          </w:p>
        </w:tc>
        <w:tc>
          <w:tcPr>
            <w:tcW w:w="1559" w:type="dxa"/>
            <w:vAlign w:val="center"/>
          </w:tcPr>
          <w:p w:rsidR="0041333C" w:rsidRDefault="0041333C" w:rsidP="0041333C">
            <w:pPr>
              <w:jc w:val="right"/>
              <w:rPr>
                <w:color w:val="000000"/>
              </w:rPr>
            </w:pPr>
            <w:r>
              <w:rPr>
                <w:color w:val="000000"/>
              </w:rPr>
              <w:t>1,</w:t>
            </w:r>
            <w:r w:rsidR="00526207">
              <w:rPr>
                <w:color w:val="000000"/>
              </w:rPr>
              <w:t>744,150</w:t>
            </w:r>
          </w:p>
        </w:tc>
      </w:tr>
      <w:tr w:rsidR="0041333C" w:rsidRPr="00EF106F" w:rsidTr="00E87C7F">
        <w:trPr>
          <w:cantSplit/>
          <w:trHeight w:val="280"/>
        </w:trPr>
        <w:tc>
          <w:tcPr>
            <w:tcW w:w="567" w:type="dxa"/>
            <w:shd w:val="clear" w:color="auto" w:fill="auto"/>
            <w:noWrap/>
            <w:hideMark/>
          </w:tcPr>
          <w:p w:rsidR="0041333C" w:rsidRPr="00EF106F" w:rsidRDefault="0041333C" w:rsidP="0041333C">
            <w:r>
              <w:t>10</w:t>
            </w:r>
          </w:p>
        </w:tc>
        <w:tc>
          <w:tcPr>
            <w:tcW w:w="2405" w:type="dxa"/>
            <w:shd w:val="clear" w:color="auto" w:fill="auto"/>
            <w:noWrap/>
            <w:vAlign w:val="center"/>
            <w:hideMark/>
          </w:tcPr>
          <w:p w:rsidR="0041333C" w:rsidRDefault="0041333C" w:rsidP="0041333C">
            <w:pPr>
              <w:rPr>
                <w:color w:val="000000"/>
              </w:rPr>
            </w:pPr>
            <w:r>
              <w:rPr>
                <w:color w:val="000000"/>
              </w:rPr>
              <w:t>Re-election of Damian Gammell as a director of the Company</w:t>
            </w:r>
          </w:p>
        </w:tc>
        <w:tc>
          <w:tcPr>
            <w:tcW w:w="1330" w:type="dxa"/>
            <w:vAlign w:val="center"/>
          </w:tcPr>
          <w:p w:rsidR="0041333C" w:rsidRDefault="0041333C" w:rsidP="0041333C">
            <w:pPr>
              <w:jc w:val="right"/>
              <w:rPr>
                <w:color w:val="000000"/>
              </w:rPr>
            </w:pPr>
            <w:r>
              <w:rPr>
                <w:color w:val="000000"/>
              </w:rPr>
              <w:t>390,045,140</w:t>
            </w:r>
          </w:p>
        </w:tc>
        <w:tc>
          <w:tcPr>
            <w:tcW w:w="895" w:type="dxa"/>
            <w:vAlign w:val="center"/>
          </w:tcPr>
          <w:p w:rsidR="0041333C" w:rsidRDefault="0041333C" w:rsidP="0041333C">
            <w:pPr>
              <w:jc w:val="right"/>
              <w:rPr>
                <w:color w:val="000000"/>
              </w:rPr>
            </w:pPr>
            <w:r>
              <w:rPr>
                <w:color w:val="000000"/>
              </w:rPr>
              <w:t>99.32%</w:t>
            </w:r>
          </w:p>
        </w:tc>
        <w:tc>
          <w:tcPr>
            <w:tcW w:w="1226" w:type="dxa"/>
            <w:vAlign w:val="center"/>
          </w:tcPr>
          <w:p w:rsidR="0041333C" w:rsidRDefault="0041333C" w:rsidP="0041333C">
            <w:pPr>
              <w:jc w:val="right"/>
              <w:rPr>
                <w:color w:val="000000"/>
              </w:rPr>
            </w:pPr>
            <w:r>
              <w:rPr>
                <w:color w:val="000000"/>
              </w:rPr>
              <w:t>2,664,383</w:t>
            </w:r>
          </w:p>
        </w:tc>
        <w:tc>
          <w:tcPr>
            <w:tcW w:w="895" w:type="dxa"/>
            <w:vAlign w:val="center"/>
          </w:tcPr>
          <w:p w:rsidR="0041333C" w:rsidRDefault="0041333C" w:rsidP="0041333C">
            <w:pPr>
              <w:jc w:val="right"/>
              <w:rPr>
                <w:color w:val="000000"/>
              </w:rPr>
            </w:pPr>
            <w:r>
              <w:rPr>
                <w:color w:val="000000"/>
              </w:rPr>
              <w:t>0.68%</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40,</w:t>
            </w:r>
            <w:r w:rsidR="00526207">
              <w:rPr>
                <w:color w:val="000000"/>
              </w:rPr>
              <w:t>459</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11</w:t>
            </w:r>
          </w:p>
        </w:tc>
        <w:tc>
          <w:tcPr>
            <w:tcW w:w="2405" w:type="dxa"/>
            <w:shd w:val="clear" w:color="auto" w:fill="auto"/>
            <w:noWrap/>
            <w:vAlign w:val="center"/>
            <w:hideMark/>
          </w:tcPr>
          <w:p w:rsidR="0041333C" w:rsidRDefault="0041333C" w:rsidP="0041333C">
            <w:pPr>
              <w:rPr>
                <w:color w:val="000000"/>
              </w:rPr>
            </w:pPr>
            <w:r>
              <w:rPr>
                <w:color w:val="000000"/>
              </w:rPr>
              <w:t>Re-election of Nathalie Gaveau as a director of the Company</w:t>
            </w:r>
          </w:p>
        </w:tc>
        <w:tc>
          <w:tcPr>
            <w:tcW w:w="1330" w:type="dxa"/>
            <w:vAlign w:val="center"/>
          </w:tcPr>
          <w:p w:rsidR="0041333C" w:rsidRDefault="0041333C" w:rsidP="0041333C">
            <w:pPr>
              <w:jc w:val="right"/>
              <w:rPr>
                <w:color w:val="000000"/>
              </w:rPr>
            </w:pPr>
            <w:r>
              <w:rPr>
                <w:color w:val="000000"/>
              </w:rPr>
              <w:t>392,374,244</w:t>
            </w:r>
          </w:p>
        </w:tc>
        <w:tc>
          <w:tcPr>
            <w:tcW w:w="895" w:type="dxa"/>
            <w:vAlign w:val="center"/>
          </w:tcPr>
          <w:p w:rsidR="0041333C" w:rsidRDefault="0041333C" w:rsidP="0041333C">
            <w:pPr>
              <w:jc w:val="right"/>
              <w:rPr>
                <w:color w:val="000000"/>
              </w:rPr>
            </w:pPr>
            <w:r>
              <w:rPr>
                <w:color w:val="000000"/>
              </w:rPr>
              <w:t>99.91%</w:t>
            </w:r>
          </w:p>
        </w:tc>
        <w:tc>
          <w:tcPr>
            <w:tcW w:w="1226" w:type="dxa"/>
            <w:vAlign w:val="center"/>
          </w:tcPr>
          <w:p w:rsidR="0041333C" w:rsidRDefault="0041333C" w:rsidP="0041333C">
            <w:pPr>
              <w:jc w:val="right"/>
              <w:rPr>
                <w:color w:val="000000"/>
              </w:rPr>
            </w:pPr>
            <w:r>
              <w:rPr>
                <w:color w:val="000000"/>
              </w:rPr>
              <w:t>341,362</w:t>
            </w:r>
          </w:p>
        </w:tc>
        <w:tc>
          <w:tcPr>
            <w:tcW w:w="895" w:type="dxa"/>
            <w:vAlign w:val="center"/>
          </w:tcPr>
          <w:p w:rsidR="0041333C" w:rsidRDefault="0041333C" w:rsidP="0041333C">
            <w:pPr>
              <w:jc w:val="right"/>
              <w:rPr>
                <w:color w:val="000000"/>
              </w:rPr>
            </w:pPr>
            <w:r>
              <w:rPr>
                <w:color w:val="000000"/>
              </w:rPr>
              <w:t>0.09%</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34,</w:t>
            </w:r>
            <w:r w:rsidR="00526207">
              <w:rPr>
                <w:color w:val="000000"/>
              </w:rPr>
              <w:t>376</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12</w:t>
            </w:r>
          </w:p>
        </w:tc>
        <w:tc>
          <w:tcPr>
            <w:tcW w:w="2405" w:type="dxa"/>
            <w:shd w:val="clear" w:color="auto" w:fill="auto"/>
            <w:noWrap/>
            <w:vAlign w:val="center"/>
            <w:hideMark/>
          </w:tcPr>
          <w:p w:rsidR="0041333C" w:rsidRDefault="0041333C" w:rsidP="0041333C">
            <w:pPr>
              <w:rPr>
                <w:color w:val="000000"/>
              </w:rPr>
            </w:pPr>
            <w:r>
              <w:rPr>
                <w:color w:val="000000"/>
              </w:rPr>
              <w:t>Re-election of Álvaro Gómez-</w:t>
            </w:r>
            <w:proofErr w:type="spellStart"/>
            <w:r>
              <w:rPr>
                <w:color w:val="000000"/>
              </w:rPr>
              <w:t>Trénor</w:t>
            </w:r>
            <w:proofErr w:type="spellEnd"/>
            <w:r>
              <w:rPr>
                <w:color w:val="000000"/>
              </w:rPr>
              <w:t xml:space="preserve"> Aguilar as a director of the Company</w:t>
            </w:r>
          </w:p>
        </w:tc>
        <w:tc>
          <w:tcPr>
            <w:tcW w:w="1330" w:type="dxa"/>
            <w:vAlign w:val="center"/>
          </w:tcPr>
          <w:p w:rsidR="0041333C" w:rsidRDefault="0041333C" w:rsidP="0041333C">
            <w:pPr>
              <w:jc w:val="right"/>
              <w:rPr>
                <w:color w:val="000000"/>
              </w:rPr>
            </w:pPr>
            <w:r>
              <w:rPr>
                <w:color w:val="000000"/>
              </w:rPr>
              <w:t>387,103,428</w:t>
            </w:r>
          </w:p>
        </w:tc>
        <w:tc>
          <w:tcPr>
            <w:tcW w:w="895" w:type="dxa"/>
            <w:vAlign w:val="center"/>
          </w:tcPr>
          <w:p w:rsidR="0041333C" w:rsidRDefault="0041333C" w:rsidP="0041333C">
            <w:pPr>
              <w:jc w:val="right"/>
              <w:rPr>
                <w:color w:val="000000"/>
              </w:rPr>
            </w:pPr>
            <w:r>
              <w:rPr>
                <w:color w:val="000000"/>
              </w:rPr>
              <w:t>98.91%</w:t>
            </w:r>
          </w:p>
        </w:tc>
        <w:tc>
          <w:tcPr>
            <w:tcW w:w="1226" w:type="dxa"/>
            <w:vAlign w:val="center"/>
          </w:tcPr>
          <w:p w:rsidR="0041333C" w:rsidRDefault="0041333C" w:rsidP="0041333C">
            <w:pPr>
              <w:jc w:val="right"/>
              <w:rPr>
                <w:color w:val="000000"/>
              </w:rPr>
            </w:pPr>
            <w:r>
              <w:rPr>
                <w:color w:val="000000"/>
              </w:rPr>
              <w:t>4,253,401</w:t>
            </w:r>
          </w:p>
        </w:tc>
        <w:tc>
          <w:tcPr>
            <w:tcW w:w="895" w:type="dxa"/>
            <w:vAlign w:val="center"/>
          </w:tcPr>
          <w:p w:rsidR="0041333C" w:rsidRDefault="0041333C" w:rsidP="0041333C">
            <w:pPr>
              <w:jc w:val="right"/>
              <w:rPr>
                <w:color w:val="000000"/>
              </w:rPr>
            </w:pPr>
            <w:r>
              <w:rPr>
                <w:color w:val="000000"/>
              </w:rPr>
              <w:t>1.09%</w:t>
            </w:r>
          </w:p>
        </w:tc>
        <w:tc>
          <w:tcPr>
            <w:tcW w:w="1466" w:type="dxa"/>
            <w:vAlign w:val="center"/>
          </w:tcPr>
          <w:p w:rsidR="0041333C" w:rsidRDefault="0041333C" w:rsidP="0041333C">
            <w:pPr>
              <w:jc w:val="right"/>
              <w:rPr>
                <w:color w:val="000000"/>
              </w:rPr>
            </w:pPr>
            <w:r>
              <w:rPr>
                <w:color w:val="000000"/>
              </w:rPr>
              <w:t>86.17%</w:t>
            </w:r>
          </w:p>
        </w:tc>
        <w:tc>
          <w:tcPr>
            <w:tcW w:w="1559" w:type="dxa"/>
            <w:vAlign w:val="center"/>
          </w:tcPr>
          <w:p w:rsidR="0041333C" w:rsidRDefault="0041333C" w:rsidP="0041333C">
            <w:pPr>
              <w:jc w:val="right"/>
              <w:rPr>
                <w:color w:val="000000"/>
              </w:rPr>
            </w:pPr>
            <w:r>
              <w:rPr>
                <w:color w:val="000000"/>
              </w:rPr>
              <w:t>1,</w:t>
            </w:r>
            <w:r w:rsidR="00526207">
              <w:rPr>
                <w:color w:val="000000"/>
              </w:rPr>
              <w:t>393,153</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13</w:t>
            </w:r>
          </w:p>
        </w:tc>
        <w:tc>
          <w:tcPr>
            <w:tcW w:w="2405" w:type="dxa"/>
            <w:shd w:val="clear" w:color="auto" w:fill="auto"/>
            <w:noWrap/>
            <w:vAlign w:val="center"/>
            <w:hideMark/>
          </w:tcPr>
          <w:p w:rsidR="0041333C" w:rsidRDefault="0041333C" w:rsidP="0041333C">
            <w:pPr>
              <w:rPr>
                <w:color w:val="000000"/>
              </w:rPr>
            </w:pPr>
            <w:r>
              <w:rPr>
                <w:color w:val="000000"/>
              </w:rPr>
              <w:t>Re-election of Dagmar Kollmann as a director of the Company</w:t>
            </w:r>
          </w:p>
        </w:tc>
        <w:tc>
          <w:tcPr>
            <w:tcW w:w="1330" w:type="dxa"/>
            <w:vAlign w:val="center"/>
          </w:tcPr>
          <w:p w:rsidR="0041333C" w:rsidRDefault="0041333C" w:rsidP="0041333C">
            <w:pPr>
              <w:jc w:val="right"/>
              <w:rPr>
                <w:color w:val="000000"/>
              </w:rPr>
            </w:pPr>
            <w:r>
              <w:rPr>
                <w:color w:val="000000"/>
              </w:rPr>
              <w:t>388,519,939</w:t>
            </w:r>
          </w:p>
        </w:tc>
        <w:tc>
          <w:tcPr>
            <w:tcW w:w="895" w:type="dxa"/>
            <w:vAlign w:val="center"/>
          </w:tcPr>
          <w:p w:rsidR="0041333C" w:rsidRDefault="0041333C" w:rsidP="0041333C">
            <w:pPr>
              <w:jc w:val="right"/>
              <w:rPr>
                <w:color w:val="000000"/>
              </w:rPr>
            </w:pPr>
            <w:r>
              <w:rPr>
                <w:color w:val="000000"/>
              </w:rPr>
              <w:t>98.93%</w:t>
            </w:r>
          </w:p>
        </w:tc>
        <w:tc>
          <w:tcPr>
            <w:tcW w:w="1226" w:type="dxa"/>
            <w:vAlign w:val="center"/>
          </w:tcPr>
          <w:p w:rsidR="0041333C" w:rsidRDefault="0041333C" w:rsidP="0041333C">
            <w:pPr>
              <w:jc w:val="right"/>
              <w:rPr>
                <w:color w:val="000000"/>
              </w:rPr>
            </w:pPr>
            <w:r>
              <w:rPr>
                <w:color w:val="000000"/>
              </w:rPr>
              <w:t>4,191,130</w:t>
            </w:r>
          </w:p>
        </w:tc>
        <w:tc>
          <w:tcPr>
            <w:tcW w:w="895" w:type="dxa"/>
            <w:vAlign w:val="center"/>
          </w:tcPr>
          <w:p w:rsidR="0041333C" w:rsidRDefault="0041333C" w:rsidP="0041333C">
            <w:pPr>
              <w:jc w:val="right"/>
              <w:rPr>
                <w:color w:val="000000"/>
              </w:rPr>
            </w:pPr>
            <w:r>
              <w:rPr>
                <w:color w:val="000000"/>
              </w:rPr>
              <w:t>1.07%</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38,</w:t>
            </w:r>
            <w:r w:rsidR="00526207">
              <w:rPr>
                <w:color w:val="000000"/>
              </w:rPr>
              <w:t>913</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14</w:t>
            </w:r>
          </w:p>
        </w:tc>
        <w:tc>
          <w:tcPr>
            <w:tcW w:w="2405" w:type="dxa"/>
            <w:shd w:val="clear" w:color="auto" w:fill="auto"/>
            <w:noWrap/>
            <w:vAlign w:val="center"/>
            <w:hideMark/>
          </w:tcPr>
          <w:p w:rsidR="0041333C" w:rsidRDefault="0041333C" w:rsidP="0041333C">
            <w:pPr>
              <w:rPr>
                <w:color w:val="000000"/>
              </w:rPr>
            </w:pPr>
            <w:r>
              <w:rPr>
                <w:color w:val="000000"/>
              </w:rPr>
              <w:t>Re-election of Alfonso Líbano Daurella as a director of the Company</w:t>
            </w:r>
          </w:p>
        </w:tc>
        <w:tc>
          <w:tcPr>
            <w:tcW w:w="1330" w:type="dxa"/>
            <w:vAlign w:val="center"/>
          </w:tcPr>
          <w:p w:rsidR="0041333C" w:rsidRDefault="0041333C" w:rsidP="0041333C">
            <w:pPr>
              <w:jc w:val="right"/>
              <w:rPr>
                <w:color w:val="000000"/>
              </w:rPr>
            </w:pPr>
            <w:r>
              <w:rPr>
                <w:color w:val="000000"/>
              </w:rPr>
              <w:t>387,107,180</w:t>
            </w:r>
          </w:p>
        </w:tc>
        <w:tc>
          <w:tcPr>
            <w:tcW w:w="895" w:type="dxa"/>
            <w:vAlign w:val="center"/>
          </w:tcPr>
          <w:p w:rsidR="0041333C" w:rsidRDefault="0041333C" w:rsidP="0041333C">
            <w:pPr>
              <w:jc w:val="right"/>
              <w:rPr>
                <w:color w:val="000000"/>
              </w:rPr>
            </w:pPr>
            <w:r>
              <w:rPr>
                <w:color w:val="000000"/>
              </w:rPr>
              <w:t>98.91%</w:t>
            </w:r>
          </w:p>
        </w:tc>
        <w:tc>
          <w:tcPr>
            <w:tcW w:w="1226" w:type="dxa"/>
            <w:vAlign w:val="center"/>
          </w:tcPr>
          <w:p w:rsidR="0041333C" w:rsidRDefault="0041333C" w:rsidP="0041333C">
            <w:pPr>
              <w:jc w:val="right"/>
              <w:rPr>
                <w:color w:val="000000"/>
              </w:rPr>
            </w:pPr>
            <w:r>
              <w:rPr>
                <w:color w:val="000000"/>
              </w:rPr>
              <w:t>4,252,102</w:t>
            </w:r>
          </w:p>
        </w:tc>
        <w:tc>
          <w:tcPr>
            <w:tcW w:w="895" w:type="dxa"/>
            <w:vAlign w:val="center"/>
          </w:tcPr>
          <w:p w:rsidR="0041333C" w:rsidRDefault="0041333C" w:rsidP="0041333C">
            <w:pPr>
              <w:jc w:val="right"/>
              <w:rPr>
                <w:color w:val="000000"/>
              </w:rPr>
            </w:pPr>
            <w:r>
              <w:rPr>
                <w:color w:val="000000"/>
              </w:rPr>
              <w:t>1.09%</w:t>
            </w:r>
          </w:p>
        </w:tc>
        <w:tc>
          <w:tcPr>
            <w:tcW w:w="1466" w:type="dxa"/>
            <w:vAlign w:val="center"/>
          </w:tcPr>
          <w:p w:rsidR="0041333C" w:rsidRDefault="0041333C" w:rsidP="0041333C">
            <w:pPr>
              <w:jc w:val="right"/>
              <w:rPr>
                <w:color w:val="000000"/>
              </w:rPr>
            </w:pPr>
            <w:r>
              <w:rPr>
                <w:color w:val="000000"/>
              </w:rPr>
              <w:t>86.17%</w:t>
            </w:r>
          </w:p>
        </w:tc>
        <w:tc>
          <w:tcPr>
            <w:tcW w:w="1559" w:type="dxa"/>
            <w:vAlign w:val="center"/>
          </w:tcPr>
          <w:p w:rsidR="0041333C" w:rsidRDefault="0041333C" w:rsidP="0041333C">
            <w:pPr>
              <w:jc w:val="right"/>
              <w:rPr>
                <w:color w:val="000000"/>
              </w:rPr>
            </w:pPr>
            <w:r>
              <w:rPr>
                <w:color w:val="000000"/>
              </w:rPr>
              <w:t>1,390,</w:t>
            </w:r>
            <w:r w:rsidR="00526207">
              <w:rPr>
                <w:color w:val="000000"/>
              </w:rPr>
              <w:t>700</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15</w:t>
            </w:r>
          </w:p>
        </w:tc>
        <w:tc>
          <w:tcPr>
            <w:tcW w:w="2405" w:type="dxa"/>
            <w:shd w:val="clear" w:color="auto" w:fill="auto"/>
            <w:noWrap/>
            <w:vAlign w:val="center"/>
            <w:hideMark/>
          </w:tcPr>
          <w:p w:rsidR="0041333C" w:rsidRDefault="0041333C" w:rsidP="0041333C">
            <w:pPr>
              <w:rPr>
                <w:color w:val="000000"/>
              </w:rPr>
            </w:pPr>
            <w:r>
              <w:rPr>
                <w:color w:val="000000"/>
              </w:rPr>
              <w:t>Re-election of Mark Price as a director of the Company</w:t>
            </w:r>
          </w:p>
        </w:tc>
        <w:tc>
          <w:tcPr>
            <w:tcW w:w="1330" w:type="dxa"/>
            <w:vAlign w:val="center"/>
          </w:tcPr>
          <w:p w:rsidR="0041333C" w:rsidRDefault="0041333C" w:rsidP="0041333C">
            <w:pPr>
              <w:jc w:val="right"/>
              <w:rPr>
                <w:color w:val="000000"/>
              </w:rPr>
            </w:pPr>
            <w:r>
              <w:rPr>
                <w:color w:val="000000"/>
              </w:rPr>
              <w:t>392,087,859</w:t>
            </w:r>
          </w:p>
        </w:tc>
        <w:tc>
          <w:tcPr>
            <w:tcW w:w="895" w:type="dxa"/>
            <w:vAlign w:val="center"/>
          </w:tcPr>
          <w:p w:rsidR="0041333C" w:rsidRDefault="0041333C" w:rsidP="0041333C">
            <w:pPr>
              <w:jc w:val="right"/>
              <w:rPr>
                <w:color w:val="000000"/>
              </w:rPr>
            </w:pPr>
            <w:r>
              <w:rPr>
                <w:color w:val="000000"/>
              </w:rPr>
              <w:t>99.84%</w:t>
            </w:r>
          </w:p>
        </w:tc>
        <w:tc>
          <w:tcPr>
            <w:tcW w:w="1226" w:type="dxa"/>
            <w:vAlign w:val="center"/>
          </w:tcPr>
          <w:p w:rsidR="0041333C" w:rsidRDefault="0041333C" w:rsidP="0041333C">
            <w:pPr>
              <w:jc w:val="right"/>
              <w:rPr>
                <w:color w:val="000000"/>
              </w:rPr>
            </w:pPr>
            <w:r>
              <w:rPr>
                <w:color w:val="000000"/>
              </w:rPr>
              <w:t>621,579</w:t>
            </w:r>
          </w:p>
        </w:tc>
        <w:tc>
          <w:tcPr>
            <w:tcW w:w="895" w:type="dxa"/>
            <w:vAlign w:val="center"/>
          </w:tcPr>
          <w:p w:rsidR="0041333C" w:rsidRDefault="0041333C" w:rsidP="0041333C">
            <w:pPr>
              <w:jc w:val="right"/>
              <w:rPr>
                <w:color w:val="000000"/>
              </w:rPr>
            </w:pPr>
            <w:r>
              <w:rPr>
                <w:color w:val="000000"/>
              </w:rPr>
              <w:t>0.16%</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40,</w:t>
            </w:r>
            <w:r w:rsidR="00526207">
              <w:rPr>
                <w:color w:val="000000"/>
              </w:rPr>
              <w:t>544</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16</w:t>
            </w:r>
          </w:p>
        </w:tc>
        <w:tc>
          <w:tcPr>
            <w:tcW w:w="2405" w:type="dxa"/>
            <w:shd w:val="clear" w:color="auto" w:fill="auto"/>
            <w:noWrap/>
            <w:vAlign w:val="center"/>
            <w:hideMark/>
          </w:tcPr>
          <w:p w:rsidR="0041333C" w:rsidRDefault="0041333C" w:rsidP="0041333C">
            <w:pPr>
              <w:rPr>
                <w:color w:val="000000"/>
              </w:rPr>
            </w:pPr>
            <w:r>
              <w:rPr>
                <w:color w:val="000000"/>
              </w:rPr>
              <w:t xml:space="preserve">Re-election of Mario </w:t>
            </w:r>
            <w:proofErr w:type="spellStart"/>
            <w:r>
              <w:rPr>
                <w:color w:val="000000"/>
              </w:rPr>
              <w:t>Rotllant</w:t>
            </w:r>
            <w:proofErr w:type="spellEnd"/>
            <w:r>
              <w:rPr>
                <w:color w:val="000000"/>
              </w:rPr>
              <w:t xml:space="preserve"> </w:t>
            </w:r>
            <w:proofErr w:type="spellStart"/>
            <w:r>
              <w:rPr>
                <w:color w:val="000000"/>
              </w:rPr>
              <w:t>Solá</w:t>
            </w:r>
            <w:proofErr w:type="spellEnd"/>
            <w:r>
              <w:rPr>
                <w:color w:val="000000"/>
              </w:rPr>
              <w:t xml:space="preserve"> as a director of the Company</w:t>
            </w:r>
          </w:p>
        </w:tc>
        <w:tc>
          <w:tcPr>
            <w:tcW w:w="1330" w:type="dxa"/>
            <w:vAlign w:val="center"/>
          </w:tcPr>
          <w:p w:rsidR="0041333C" w:rsidRDefault="0041333C" w:rsidP="0041333C">
            <w:pPr>
              <w:jc w:val="right"/>
              <w:rPr>
                <w:color w:val="000000"/>
              </w:rPr>
            </w:pPr>
            <w:r>
              <w:rPr>
                <w:color w:val="000000"/>
              </w:rPr>
              <w:t>340,677,065</w:t>
            </w:r>
          </w:p>
        </w:tc>
        <w:tc>
          <w:tcPr>
            <w:tcW w:w="895" w:type="dxa"/>
            <w:vAlign w:val="center"/>
          </w:tcPr>
          <w:p w:rsidR="0041333C" w:rsidRDefault="0041333C" w:rsidP="0041333C">
            <w:pPr>
              <w:jc w:val="right"/>
              <w:rPr>
                <w:color w:val="000000"/>
              </w:rPr>
            </w:pPr>
            <w:r>
              <w:rPr>
                <w:color w:val="000000"/>
              </w:rPr>
              <w:t>87.13%</w:t>
            </w:r>
          </w:p>
        </w:tc>
        <w:tc>
          <w:tcPr>
            <w:tcW w:w="1226" w:type="dxa"/>
            <w:vAlign w:val="center"/>
          </w:tcPr>
          <w:p w:rsidR="0041333C" w:rsidRDefault="0041333C" w:rsidP="0041333C">
            <w:pPr>
              <w:jc w:val="right"/>
              <w:rPr>
                <w:color w:val="000000"/>
              </w:rPr>
            </w:pPr>
            <w:r>
              <w:rPr>
                <w:color w:val="000000"/>
              </w:rPr>
              <w:t>50,326,039</w:t>
            </w:r>
          </w:p>
        </w:tc>
        <w:tc>
          <w:tcPr>
            <w:tcW w:w="895" w:type="dxa"/>
            <w:vAlign w:val="center"/>
          </w:tcPr>
          <w:p w:rsidR="0041333C" w:rsidRDefault="0041333C" w:rsidP="0041333C">
            <w:pPr>
              <w:jc w:val="right"/>
              <w:rPr>
                <w:color w:val="000000"/>
              </w:rPr>
            </w:pPr>
            <w:r>
              <w:rPr>
                <w:color w:val="000000"/>
              </w:rPr>
              <w:t>12.87%</w:t>
            </w:r>
          </w:p>
        </w:tc>
        <w:tc>
          <w:tcPr>
            <w:tcW w:w="1466" w:type="dxa"/>
            <w:vAlign w:val="center"/>
          </w:tcPr>
          <w:p w:rsidR="0041333C" w:rsidRDefault="0041333C" w:rsidP="0041333C">
            <w:pPr>
              <w:jc w:val="right"/>
              <w:rPr>
                <w:color w:val="000000"/>
              </w:rPr>
            </w:pPr>
            <w:r>
              <w:rPr>
                <w:color w:val="000000"/>
              </w:rPr>
              <w:t>86.09%</w:t>
            </w:r>
          </w:p>
        </w:tc>
        <w:tc>
          <w:tcPr>
            <w:tcW w:w="1559" w:type="dxa"/>
            <w:vAlign w:val="center"/>
          </w:tcPr>
          <w:p w:rsidR="0041333C" w:rsidRDefault="0041333C" w:rsidP="0041333C">
            <w:pPr>
              <w:jc w:val="right"/>
              <w:rPr>
                <w:color w:val="000000"/>
              </w:rPr>
            </w:pPr>
            <w:r>
              <w:rPr>
                <w:color w:val="000000"/>
              </w:rPr>
              <w:t>1,746,</w:t>
            </w:r>
            <w:r w:rsidR="00526207">
              <w:rPr>
                <w:color w:val="000000"/>
              </w:rPr>
              <w:t>878</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lastRenderedPageBreak/>
              <w:t>17</w:t>
            </w:r>
          </w:p>
        </w:tc>
        <w:tc>
          <w:tcPr>
            <w:tcW w:w="2405" w:type="dxa"/>
            <w:shd w:val="clear" w:color="auto" w:fill="auto"/>
            <w:noWrap/>
            <w:vAlign w:val="center"/>
            <w:hideMark/>
          </w:tcPr>
          <w:p w:rsidR="0041333C" w:rsidRDefault="0041333C" w:rsidP="0041333C">
            <w:pPr>
              <w:rPr>
                <w:color w:val="000000"/>
              </w:rPr>
            </w:pPr>
            <w:r>
              <w:rPr>
                <w:color w:val="000000"/>
              </w:rPr>
              <w:t>Reappointment of the Auditor</w:t>
            </w:r>
          </w:p>
        </w:tc>
        <w:tc>
          <w:tcPr>
            <w:tcW w:w="1330" w:type="dxa"/>
            <w:vAlign w:val="center"/>
          </w:tcPr>
          <w:p w:rsidR="0041333C" w:rsidRDefault="0041333C" w:rsidP="0041333C">
            <w:pPr>
              <w:jc w:val="right"/>
              <w:rPr>
                <w:color w:val="000000"/>
              </w:rPr>
            </w:pPr>
            <w:r>
              <w:rPr>
                <w:color w:val="000000"/>
              </w:rPr>
              <w:t>390,054,140</w:t>
            </w:r>
          </w:p>
        </w:tc>
        <w:tc>
          <w:tcPr>
            <w:tcW w:w="895" w:type="dxa"/>
            <w:vAlign w:val="center"/>
          </w:tcPr>
          <w:p w:rsidR="0041333C" w:rsidRDefault="0041333C" w:rsidP="0041333C">
            <w:pPr>
              <w:jc w:val="right"/>
              <w:rPr>
                <w:color w:val="000000"/>
              </w:rPr>
            </w:pPr>
            <w:r>
              <w:rPr>
                <w:color w:val="000000"/>
              </w:rPr>
              <w:t>99.32%</w:t>
            </w:r>
          </w:p>
        </w:tc>
        <w:tc>
          <w:tcPr>
            <w:tcW w:w="1226" w:type="dxa"/>
            <w:vAlign w:val="center"/>
          </w:tcPr>
          <w:p w:rsidR="0041333C" w:rsidRDefault="0041333C" w:rsidP="0041333C">
            <w:pPr>
              <w:jc w:val="right"/>
              <w:rPr>
                <w:color w:val="000000"/>
              </w:rPr>
            </w:pPr>
            <w:r>
              <w:rPr>
                <w:color w:val="000000"/>
              </w:rPr>
              <w:t>2,663,329</w:t>
            </w:r>
          </w:p>
        </w:tc>
        <w:tc>
          <w:tcPr>
            <w:tcW w:w="895" w:type="dxa"/>
            <w:vAlign w:val="center"/>
          </w:tcPr>
          <w:p w:rsidR="0041333C" w:rsidRDefault="0041333C" w:rsidP="0041333C">
            <w:pPr>
              <w:jc w:val="right"/>
              <w:rPr>
                <w:color w:val="000000"/>
              </w:rPr>
            </w:pPr>
            <w:r>
              <w:rPr>
                <w:color w:val="000000"/>
              </w:rPr>
              <w:t>0.68%</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32,513</w:t>
            </w:r>
          </w:p>
        </w:tc>
      </w:tr>
      <w:tr w:rsidR="0041333C" w:rsidRPr="00EF106F" w:rsidTr="00E87C7F">
        <w:trPr>
          <w:cantSplit/>
          <w:trHeight w:val="280"/>
        </w:trPr>
        <w:tc>
          <w:tcPr>
            <w:tcW w:w="567" w:type="dxa"/>
            <w:shd w:val="clear" w:color="auto" w:fill="auto"/>
            <w:noWrap/>
            <w:hideMark/>
          </w:tcPr>
          <w:p w:rsidR="0041333C" w:rsidRPr="00EF106F" w:rsidRDefault="0041333C" w:rsidP="0041333C">
            <w:r w:rsidRPr="00EF106F">
              <w:t>18</w:t>
            </w:r>
          </w:p>
        </w:tc>
        <w:tc>
          <w:tcPr>
            <w:tcW w:w="2405" w:type="dxa"/>
            <w:shd w:val="clear" w:color="auto" w:fill="auto"/>
            <w:noWrap/>
            <w:vAlign w:val="center"/>
            <w:hideMark/>
          </w:tcPr>
          <w:p w:rsidR="0041333C" w:rsidRDefault="0041333C" w:rsidP="0041333C">
            <w:pPr>
              <w:rPr>
                <w:color w:val="000000"/>
              </w:rPr>
            </w:pPr>
            <w:r>
              <w:rPr>
                <w:color w:val="000000"/>
              </w:rPr>
              <w:t>Remuneration of the Auditor</w:t>
            </w:r>
          </w:p>
        </w:tc>
        <w:tc>
          <w:tcPr>
            <w:tcW w:w="1330" w:type="dxa"/>
            <w:vAlign w:val="center"/>
          </w:tcPr>
          <w:p w:rsidR="0041333C" w:rsidRDefault="0041333C" w:rsidP="0041333C">
            <w:pPr>
              <w:jc w:val="right"/>
              <w:rPr>
                <w:color w:val="000000"/>
              </w:rPr>
            </w:pPr>
            <w:r>
              <w:rPr>
                <w:color w:val="000000"/>
              </w:rPr>
              <w:t>392,504,743</w:t>
            </w:r>
          </w:p>
        </w:tc>
        <w:tc>
          <w:tcPr>
            <w:tcW w:w="895" w:type="dxa"/>
            <w:vAlign w:val="center"/>
          </w:tcPr>
          <w:p w:rsidR="0041333C" w:rsidRDefault="0041333C" w:rsidP="0041333C">
            <w:pPr>
              <w:jc w:val="right"/>
              <w:rPr>
                <w:color w:val="000000"/>
              </w:rPr>
            </w:pPr>
            <w:r>
              <w:rPr>
                <w:color w:val="000000"/>
              </w:rPr>
              <w:t>99.95%</w:t>
            </w:r>
          </w:p>
        </w:tc>
        <w:tc>
          <w:tcPr>
            <w:tcW w:w="1226" w:type="dxa"/>
            <w:vAlign w:val="center"/>
          </w:tcPr>
          <w:p w:rsidR="0041333C" w:rsidRDefault="0041333C" w:rsidP="0041333C">
            <w:pPr>
              <w:jc w:val="right"/>
              <w:rPr>
                <w:color w:val="000000"/>
              </w:rPr>
            </w:pPr>
            <w:r>
              <w:rPr>
                <w:color w:val="000000"/>
              </w:rPr>
              <w:t>205,457</w:t>
            </w:r>
          </w:p>
        </w:tc>
        <w:tc>
          <w:tcPr>
            <w:tcW w:w="895" w:type="dxa"/>
            <w:vAlign w:val="center"/>
          </w:tcPr>
          <w:p w:rsidR="0041333C" w:rsidRDefault="0041333C" w:rsidP="0041333C">
            <w:pPr>
              <w:jc w:val="right"/>
              <w:rPr>
                <w:color w:val="000000"/>
              </w:rPr>
            </w:pPr>
            <w:r>
              <w:rPr>
                <w:color w:val="000000"/>
              </w:rPr>
              <w:t>0.05%</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39,</w:t>
            </w:r>
            <w:r w:rsidR="00526207">
              <w:rPr>
                <w:color w:val="000000"/>
              </w:rPr>
              <w:t>782</w:t>
            </w:r>
          </w:p>
        </w:tc>
      </w:tr>
      <w:tr w:rsidR="0041333C" w:rsidRPr="00EF106F" w:rsidTr="00E87C7F">
        <w:trPr>
          <w:cantSplit/>
          <w:trHeight w:val="280"/>
        </w:trPr>
        <w:tc>
          <w:tcPr>
            <w:tcW w:w="567" w:type="dxa"/>
            <w:shd w:val="clear" w:color="auto" w:fill="auto"/>
            <w:noWrap/>
            <w:hideMark/>
          </w:tcPr>
          <w:p w:rsidR="0041333C" w:rsidRPr="00EF106F" w:rsidRDefault="0041333C" w:rsidP="0041333C">
            <w:r>
              <w:t>19</w:t>
            </w:r>
          </w:p>
        </w:tc>
        <w:tc>
          <w:tcPr>
            <w:tcW w:w="2405" w:type="dxa"/>
            <w:shd w:val="clear" w:color="auto" w:fill="auto"/>
            <w:noWrap/>
            <w:vAlign w:val="center"/>
            <w:hideMark/>
          </w:tcPr>
          <w:p w:rsidR="0041333C" w:rsidRDefault="0041333C" w:rsidP="0041333C">
            <w:pPr>
              <w:rPr>
                <w:color w:val="000000"/>
              </w:rPr>
            </w:pPr>
            <w:r>
              <w:rPr>
                <w:color w:val="000000"/>
              </w:rPr>
              <w:t>Political Donations</w:t>
            </w:r>
          </w:p>
        </w:tc>
        <w:tc>
          <w:tcPr>
            <w:tcW w:w="1330" w:type="dxa"/>
            <w:vAlign w:val="center"/>
          </w:tcPr>
          <w:p w:rsidR="0041333C" w:rsidRDefault="0041333C" w:rsidP="0041333C">
            <w:pPr>
              <w:jc w:val="right"/>
              <w:rPr>
                <w:color w:val="000000"/>
              </w:rPr>
            </w:pPr>
            <w:r>
              <w:rPr>
                <w:color w:val="000000"/>
              </w:rPr>
              <w:t>391,667,792</w:t>
            </w:r>
          </w:p>
        </w:tc>
        <w:tc>
          <w:tcPr>
            <w:tcW w:w="895" w:type="dxa"/>
            <w:vAlign w:val="center"/>
          </w:tcPr>
          <w:p w:rsidR="0041333C" w:rsidRDefault="0041333C" w:rsidP="0041333C">
            <w:pPr>
              <w:jc w:val="right"/>
              <w:rPr>
                <w:color w:val="000000"/>
              </w:rPr>
            </w:pPr>
            <w:r>
              <w:rPr>
                <w:color w:val="000000"/>
              </w:rPr>
              <w:t>99.76%</w:t>
            </w:r>
          </w:p>
        </w:tc>
        <w:tc>
          <w:tcPr>
            <w:tcW w:w="1226" w:type="dxa"/>
            <w:vAlign w:val="center"/>
          </w:tcPr>
          <w:p w:rsidR="0041333C" w:rsidRDefault="0041333C" w:rsidP="0041333C">
            <w:pPr>
              <w:jc w:val="right"/>
              <w:rPr>
                <w:color w:val="000000"/>
              </w:rPr>
            </w:pPr>
            <w:r>
              <w:rPr>
                <w:color w:val="000000"/>
              </w:rPr>
              <w:t>939,216</w:t>
            </w:r>
          </w:p>
        </w:tc>
        <w:tc>
          <w:tcPr>
            <w:tcW w:w="895" w:type="dxa"/>
            <w:vAlign w:val="center"/>
          </w:tcPr>
          <w:p w:rsidR="0041333C" w:rsidRDefault="0041333C" w:rsidP="0041333C">
            <w:pPr>
              <w:jc w:val="right"/>
              <w:rPr>
                <w:color w:val="000000"/>
              </w:rPr>
            </w:pPr>
            <w:r>
              <w:rPr>
                <w:color w:val="000000"/>
              </w:rPr>
              <w:t>0.24%</w:t>
            </w:r>
          </w:p>
        </w:tc>
        <w:tc>
          <w:tcPr>
            <w:tcW w:w="1466" w:type="dxa"/>
            <w:vAlign w:val="center"/>
          </w:tcPr>
          <w:p w:rsidR="0041333C" w:rsidRDefault="0041333C" w:rsidP="0041333C">
            <w:pPr>
              <w:jc w:val="right"/>
              <w:rPr>
                <w:color w:val="000000"/>
              </w:rPr>
            </w:pPr>
            <w:r>
              <w:rPr>
                <w:color w:val="000000"/>
              </w:rPr>
              <w:t>86.45%</w:t>
            </w:r>
          </w:p>
        </w:tc>
        <w:tc>
          <w:tcPr>
            <w:tcW w:w="1559" w:type="dxa"/>
            <w:vAlign w:val="center"/>
          </w:tcPr>
          <w:p w:rsidR="0041333C" w:rsidRDefault="0041333C" w:rsidP="0041333C">
            <w:pPr>
              <w:jc w:val="right"/>
              <w:rPr>
                <w:color w:val="000000"/>
              </w:rPr>
            </w:pPr>
            <w:r>
              <w:rPr>
                <w:color w:val="000000"/>
              </w:rPr>
              <w:t>142,</w:t>
            </w:r>
            <w:r w:rsidR="00526207">
              <w:rPr>
                <w:color w:val="000000"/>
              </w:rPr>
              <w:t>974</w:t>
            </w:r>
          </w:p>
        </w:tc>
      </w:tr>
      <w:tr w:rsidR="0041333C" w:rsidRPr="00EF106F" w:rsidTr="00E87C7F">
        <w:trPr>
          <w:cantSplit/>
          <w:trHeight w:val="280"/>
        </w:trPr>
        <w:tc>
          <w:tcPr>
            <w:tcW w:w="567" w:type="dxa"/>
            <w:shd w:val="clear" w:color="auto" w:fill="auto"/>
            <w:noWrap/>
            <w:hideMark/>
          </w:tcPr>
          <w:p w:rsidR="0041333C" w:rsidRPr="00EF106F" w:rsidRDefault="0041333C" w:rsidP="0041333C">
            <w:r>
              <w:t>20</w:t>
            </w:r>
          </w:p>
        </w:tc>
        <w:tc>
          <w:tcPr>
            <w:tcW w:w="2405" w:type="dxa"/>
            <w:shd w:val="clear" w:color="auto" w:fill="auto"/>
            <w:noWrap/>
            <w:vAlign w:val="center"/>
            <w:hideMark/>
          </w:tcPr>
          <w:p w:rsidR="0041333C" w:rsidRDefault="0041333C" w:rsidP="0041333C">
            <w:pPr>
              <w:rPr>
                <w:color w:val="000000"/>
              </w:rPr>
            </w:pPr>
            <w:r>
              <w:rPr>
                <w:color w:val="000000"/>
              </w:rPr>
              <w:t>Authority to allot new shares</w:t>
            </w:r>
          </w:p>
        </w:tc>
        <w:tc>
          <w:tcPr>
            <w:tcW w:w="1330" w:type="dxa"/>
            <w:vAlign w:val="center"/>
          </w:tcPr>
          <w:p w:rsidR="0041333C" w:rsidRDefault="0041333C" w:rsidP="0041333C">
            <w:pPr>
              <w:jc w:val="right"/>
              <w:rPr>
                <w:color w:val="000000"/>
              </w:rPr>
            </w:pPr>
            <w:r>
              <w:rPr>
                <w:color w:val="000000"/>
              </w:rPr>
              <w:t>362,799,226</w:t>
            </w:r>
          </w:p>
        </w:tc>
        <w:tc>
          <w:tcPr>
            <w:tcW w:w="895" w:type="dxa"/>
            <w:vAlign w:val="center"/>
          </w:tcPr>
          <w:p w:rsidR="0041333C" w:rsidRDefault="0041333C" w:rsidP="0041333C">
            <w:pPr>
              <w:jc w:val="right"/>
              <w:rPr>
                <w:color w:val="000000"/>
              </w:rPr>
            </w:pPr>
            <w:r>
              <w:rPr>
                <w:color w:val="000000"/>
              </w:rPr>
              <w:t>92.39%</w:t>
            </w:r>
          </w:p>
        </w:tc>
        <w:tc>
          <w:tcPr>
            <w:tcW w:w="1226" w:type="dxa"/>
            <w:vAlign w:val="center"/>
          </w:tcPr>
          <w:p w:rsidR="0041333C" w:rsidRDefault="0041333C" w:rsidP="0041333C">
            <w:pPr>
              <w:jc w:val="right"/>
              <w:rPr>
                <w:color w:val="000000"/>
              </w:rPr>
            </w:pPr>
            <w:r>
              <w:rPr>
                <w:color w:val="000000"/>
              </w:rPr>
              <w:t>29,897,519</w:t>
            </w:r>
          </w:p>
        </w:tc>
        <w:tc>
          <w:tcPr>
            <w:tcW w:w="895" w:type="dxa"/>
            <w:vAlign w:val="center"/>
          </w:tcPr>
          <w:p w:rsidR="0041333C" w:rsidRDefault="0041333C" w:rsidP="0041333C">
            <w:pPr>
              <w:jc w:val="right"/>
              <w:rPr>
                <w:color w:val="000000"/>
              </w:rPr>
            </w:pPr>
            <w:r>
              <w:rPr>
                <w:color w:val="000000"/>
              </w:rPr>
              <w:t>7.61%</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53,</w:t>
            </w:r>
            <w:r w:rsidR="00526207">
              <w:rPr>
                <w:color w:val="000000"/>
              </w:rPr>
              <w:t>237</w:t>
            </w:r>
          </w:p>
        </w:tc>
      </w:tr>
      <w:tr w:rsidR="0041333C" w:rsidRPr="00EF106F" w:rsidTr="00E87C7F">
        <w:trPr>
          <w:cantSplit/>
          <w:trHeight w:val="280"/>
        </w:trPr>
        <w:tc>
          <w:tcPr>
            <w:tcW w:w="567" w:type="dxa"/>
            <w:shd w:val="clear" w:color="auto" w:fill="auto"/>
            <w:noWrap/>
            <w:hideMark/>
          </w:tcPr>
          <w:p w:rsidR="0041333C" w:rsidRPr="00EF106F" w:rsidRDefault="0041333C" w:rsidP="0041333C">
            <w:r>
              <w:t>21</w:t>
            </w:r>
          </w:p>
        </w:tc>
        <w:tc>
          <w:tcPr>
            <w:tcW w:w="2405" w:type="dxa"/>
            <w:shd w:val="clear" w:color="auto" w:fill="auto"/>
            <w:noWrap/>
            <w:vAlign w:val="center"/>
            <w:hideMark/>
          </w:tcPr>
          <w:p w:rsidR="0041333C" w:rsidRDefault="0041333C" w:rsidP="0041333C">
            <w:pPr>
              <w:rPr>
                <w:color w:val="000000"/>
              </w:rPr>
            </w:pPr>
            <w:r>
              <w:rPr>
                <w:color w:val="000000"/>
              </w:rPr>
              <w:t>Waiver of mandatory offer provisions set out in Rule 9 of the Takeover Code (see note 4)</w:t>
            </w:r>
          </w:p>
        </w:tc>
        <w:tc>
          <w:tcPr>
            <w:tcW w:w="1330" w:type="dxa"/>
            <w:vAlign w:val="center"/>
          </w:tcPr>
          <w:p w:rsidR="0041333C" w:rsidRDefault="0041333C" w:rsidP="0041333C">
            <w:pPr>
              <w:jc w:val="right"/>
              <w:rPr>
                <w:color w:val="000000"/>
              </w:rPr>
            </w:pPr>
            <w:r>
              <w:rPr>
                <w:color w:val="000000"/>
              </w:rPr>
              <w:t>183,170,399</w:t>
            </w:r>
          </w:p>
        </w:tc>
        <w:tc>
          <w:tcPr>
            <w:tcW w:w="895" w:type="dxa"/>
            <w:vAlign w:val="center"/>
          </w:tcPr>
          <w:p w:rsidR="0041333C" w:rsidRDefault="0041333C" w:rsidP="0041333C">
            <w:pPr>
              <w:jc w:val="right"/>
              <w:rPr>
                <w:color w:val="000000"/>
              </w:rPr>
            </w:pPr>
            <w:r>
              <w:rPr>
                <w:color w:val="000000"/>
              </w:rPr>
              <w:t>81.55%</w:t>
            </w:r>
          </w:p>
        </w:tc>
        <w:tc>
          <w:tcPr>
            <w:tcW w:w="1226" w:type="dxa"/>
            <w:vAlign w:val="center"/>
          </w:tcPr>
          <w:p w:rsidR="0041333C" w:rsidRDefault="0041333C" w:rsidP="0041333C">
            <w:pPr>
              <w:jc w:val="right"/>
              <w:rPr>
                <w:color w:val="000000"/>
              </w:rPr>
            </w:pPr>
            <w:r>
              <w:rPr>
                <w:color w:val="000000"/>
              </w:rPr>
              <w:t>41,439,675</w:t>
            </w:r>
          </w:p>
        </w:tc>
        <w:tc>
          <w:tcPr>
            <w:tcW w:w="895" w:type="dxa"/>
            <w:vAlign w:val="center"/>
          </w:tcPr>
          <w:p w:rsidR="0041333C" w:rsidRDefault="0041333C" w:rsidP="0041333C">
            <w:pPr>
              <w:jc w:val="right"/>
              <w:rPr>
                <w:color w:val="000000"/>
              </w:rPr>
            </w:pPr>
            <w:r>
              <w:rPr>
                <w:color w:val="000000"/>
              </w:rPr>
              <w:t>18.45%</w:t>
            </w:r>
          </w:p>
        </w:tc>
        <w:tc>
          <w:tcPr>
            <w:tcW w:w="1466" w:type="dxa"/>
            <w:vAlign w:val="center"/>
          </w:tcPr>
          <w:p w:rsidR="0041333C" w:rsidRDefault="0041333C" w:rsidP="0041333C">
            <w:pPr>
              <w:jc w:val="right"/>
              <w:rPr>
                <w:color w:val="000000"/>
              </w:rPr>
            </w:pPr>
            <w:r>
              <w:rPr>
                <w:color w:val="000000"/>
              </w:rPr>
              <w:t>49.46%</w:t>
            </w:r>
          </w:p>
        </w:tc>
        <w:tc>
          <w:tcPr>
            <w:tcW w:w="1559" w:type="dxa"/>
            <w:vAlign w:val="center"/>
          </w:tcPr>
          <w:p w:rsidR="0041333C" w:rsidRDefault="0041333C" w:rsidP="0041333C">
            <w:pPr>
              <w:jc w:val="right"/>
              <w:rPr>
                <w:color w:val="000000"/>
              </w:rPr>
            </w:pPr>
            <w:r>
              <w:rPr>
                <w:color w:val="000000"/>
              </w:rPr>
              <w:t>167,188,</w:t>
            </w:r>
            <w:r w:rsidR="00526207">
              <w:rPr>
                <w:color w:val="000000"/>
              </w:rPr>
              <w:t>375</w:t>
            </w:r>
          </w:p>
        </w:tc>
      </w:tr>
      <w:tr w:rsidR="0041333C" w:rsidRPr="00EF106F" w:rsidTr="00E87C7F">
        <w:trPr>
          <w:cantSplit/>
          <w:trHeight w:val="280"/>
        </w:trPr>
        <w:tc>
          <w:tcPr>
            <w:tcW w:w="567" w:type="dxa"/>
            <w:shd w:val="clear" w:color="auto" w:fill="auto"/>
            <w:noWrap/>
          </w:tcPr>
          <w:p w:rsidR="0041333C" w:rsidRDefault="0041333C" w:rsidP="0041333C">
            <w:r>
              <w:t>22</w:t>
            </w:r>
          </w:p>
        </w:tc>
        <w:tc>
          <w:tcPr>
            <w:tcW w:w="2405" w:type="dxa"/>
            <w:shd w:val="clear" w:color="auto" w:fill="auto"/>
            <w:noWrap/>
            <w:vAlign w:val="center"/>
          </w:tcPr>
          <w:p w:rsidR="0041333C" w:rsidRDefault="0041333C" w:rsidP="0041333C">
            <w:pPr>
              <w:rPr>
                <w:color w:val="000000"/>
              </w:rPr>
            </w:pPr>
            <w:r>
              <w:rPr>
                <w:color w:val="000000"/>
              </w:rPr>
              <w:t xml:space="preserve">Authority to disapply pre-emption rights </w:t>
            </w:r>
          </w:p>
        </w:tc>
        <w:tc>
          <w:tcPr>
            <w:tcW w:w="1330" w:type="dxa"/>
            <w:vAlign w:val="center"/>
          </w:tcPr>
          <w:p w:rsidR="0041333C" w:rsidRDefault="0041333C" w:rsidP="0041333C">
            <w:pPr>
              <w:jc w:val="right"/>
              <w:rPr>
                <w:color w:val="000000"/>
              </w:rPr>
            </w:pPr>
            <w:r>
              <w:rPr>
                <w:color w:val="000000"/>
              </w:rPr>
              <w:t>392,008,222</w:t>
            </w:r>
          </w:p>
        </w:tc>
        <w:tc>
          <w:tcPr>
            <w:tcW w:w="895" w:type="dxa"/>
            <w:vAlign w:val="center"/>
          </w:tcPr>
          <w:p w:rsidR="0041333C" w:rsidRDefault="0041333C" w:rsidP="0041333C">
            <w:pPr>
              <w:jc w:val="right"/>
              <w:rPr>
                <w:color w:val="000000"/>
              </w:rPr>
            </w:pPr>
            <w:r>
              <w:rPr>
                <w:color w:val="000000"/>
              </w:rPr>
              <w:t>99.95%</w:t>
            </w:r>
          </w:p>
        </w:tc>
        <w:tc>
          <w:tcPr>
            <w:tcW w:w="1226" w:type="dxa"/>
            <w:vAlign w:val="center"/>
          </w:tcPr>
          <w:p w:rsidR="0041333C" w:rsidRDefault="0041333C" w:rsidP="0041333C">
            <w:pPr>
              <w:jc w:val="right"/>
              <w:rPr>
                <w:color w:val="000000"/>
              </w:rPr>
            </w:pPr>
            <w:r>
              <w:rPr>
                <w:color w:val="000000"/>
              </w:rPr>
              <w:t>193,813</w:t>
            </w:r>
          </w:p>
        </w:tc>
        <w:tc>
          <w:tcPr>
            <w:tcW w:w="895" w:type="dxa"/>
            <w:vAlign w:val="center"/>
          </w:tcPr>
          <w:p w:rsidR="0041333C" w:rsidRDefault="0041333C" w:rsidP="0041333C">
            <w:pPr>
              <w:jc w:val="right"/>
              <w:rPr>
                <w:color w:val="000000"/>
              </w:rPr>
            </w:pPr>
            <w:r>
              <w:rPr>
                <w:color w:val="000000"/>
              </w:rPr>
              <w:t>0.05%</w:t>
            </w:r>
          </w:p>
        </w:tc>
        <w:tc>
          <w:tcPr>
            <w:tcW w:w="1466" w:type="dxa"/>
            <w:vAlign w:val="center"/>
          </w:tcPr>
          <w:p w:rsidR="0041333C" w:rsidRDefault="0041333C" w:rsidP="0041333C">
            <w:pPr>
              <w:jc w:val="right"/>
              <w:rPr>
                <w:color w:val="000000"/>
              </w:rPr>
            </w:pPr>
            <w:r>
              <w:rPr>
                <w:color w:val="000000"/>
              </w:rPr>
              <w:t>86.36%</w:t>
            </w:r>
          </w:p>
        </w:tc>
        <w:tc>
          <w:tcPr>
            <w:tcW w:w="1559" w:type="dxa"/>
            <w:vAlign w:val="center"/>
          </w:tcPr>
          <w:p w:rsidR="0041333C" w:rsidRDefault="0041333C" w:rsidP="0041333C">
            <w:pPr>
              <w:jc w:val="right"/>
              <w:rPr>
                <w:color w:val="000000"/>
              </w:rPr>
            </w:pPr>
            <w:r>
              <w:rPr>
                <w:color w:val="000000"/>
              </w:rPr>
              <w:t>547,</w:t>
            </w:r>
            <w:r w:rsidR="00526207">
              <w:rPr>
                <w:color w:val="000000"/>
              </w:rPr>
              <w:t>947</w:t>
            </w:r>
          </w:p>
        </w:tc>
      </w:tr>
      <w:tr w:rsidR="0041333C" w:rsidRPr="00EF106F" w:rsidTr="00E87C7F">
        <w:trPr>
          <w:cantSplit/>
          <w:trHeight w:val="280"/>
        </w:trPr>
        <w:tc>
          <w:tcPr>
            <w:tcW w:w="567" w:type="dxa"/>
            <w:shd w:val="clear" w:color="auto" w:fill="auto"/>
            <w:noWrap/>
          </w:tcPr>
          <w:p w:rsidR="0041333C" w:rsidRDefault="0041333C" w:rsidP="0041333C">
            <w:r w:rsidRPr="00C9630A">
              <w:t>2</w:t>
            </w:r>
            <w:r>
              <w:t>3</w:t>
            </w:r>
          </w:p>
        </w:tc>
        <w:tc>
          <w:tcPr>
            <w:tcW w:w="2405" w:type="dxa"/>
            <w:shd w:val="clear" w:color="auto" w:fill="auto"/>
            <w:noWrap/>
            <w:vAlign w:val="center"/>
          </w:tcPr>
          <w:p w:rsidR="0041333C" w:rsidRDefault="0041333C" w:rsidP="0041333C">
            <w:pPr>
              <w:rPr>
                <w:color w:val="000000"/>
              </w:rPr>
            </w:pPr>
            <w:r>
              <w:rPr>
                <w:color w:val="000000"/>
              </w:rPr>
              <w:t xml:space="preserve">Authority to purchase own shares on market </w:t>
            </w:r>
          </w:p>
        </w:tc>
        <w:tc>
          <w:tcPr>
            <w:tcW w:w="1330" w:type="dxa"/>
            <w:vAlign w:val="center"/>
          </w:tcPr>
          <w:p w:rsidR="0041333C" w:rsidRDefault="0041333C" w:rsidP="0041333C">
            <w:pPr>
              <w:jc w:val="right"/>
              <w:rPr>
                <w:color w:val="000000"/>
              </w:rPr>
            </w:pPr>
            <w:r>
              <w:rPr>
                <w:color w:val="000000"/>
              </w:rPr>
              <w:t>390,815,941</w:t>
            </w:r>
          </w:p>
        </w:tc>
        <w:tc>
          <w:tcPr>
            <w:tcW w:w="895" w:type="dxa"/>
            <w:vAlign w:val="center"/>
          </w:tcPr>
          <w:p w:rsidR="0041333C" w:rsidRDefault="0041333C" w:rsidP="0041333C">
            <w:pPr>
              <w:jc w:val="right"/>
              <w:rPr>
                <w:color w:val="000000"/>
              </w:rPr>
            </w:pPr>
            <w:r>
              <w:rPr>
                <w:color w:val="000000"/>
              </w:rPr>
              <w:t>99.59%</w:t>
            </w:r>
          </w:p>
        </w:tc>
        <w:tc>
          <w:tcPr>
            <w:tcW w:w="1226" w:type="dxa"/>
            <w:vAlign w:val="center"/>
          </w:tcPr>
          <w:p w:rsidR="0041333C" w:rsidRDefault="0041333C" w:rsidP="0041333C">
            <w:pPr>
              <w:jc w:val="right"/>
              <w:rPr>
                <w:color w:val="000000"/>
              </w:rPr>
            </w:pPr>
            <w:r>
              <w:rPr>
                <w:color w:val="000000"/>
              </w:rPr>
              <w:t>1,625,631</w:t>
            </w:r>
          </w:p>
        </w:tc>
        <w:tc>
          <w:tcPr>
            <w:tcW w:w="895" w:type="dxa"/>
            <w:vAlign w:val="center"/>
          </w:tcPr>
          <w:p w:rsidR="0041333C" w:rsidRDefault="0041333C" w:rsidP="0041333C">
            <w:pPr>
              <w:jc w:val="right"/>
              <w:rPr>
                <w:color w:val="000000"/>
              </w:rPr>
            </w:pPr>
            <w:r>
              <w:rPr>
                <w:color w:val="000000"/>
              </w:rPr>
              <w:t>0.41%</w:t>
            </w:r>
          </w:p>
        </w:tc>
        <w:tc>
          <w:tcPr>
            <w:tcW w:w="1466" w:type="dxa"/>
            <w:vAlign w:val="center"/>
          </w:tcPr>
          <w:p w:rsidR="0041333C" w:rsidRDefault="0041333C" w:rsidP="0041333C">
            <w:pPr>
              <w:jc w:val="right"/>
              <w:rPr>
                <w:color w:val="000000"/>
              </w:rPr>
            </w:pPr>
            <w:r>
              <w:rPr>
                <w:color w:val="000000"/>
              </w:rPr>
              <w:t>86.41%</w:t>
            </w:r>
          </w:p>
        </w:tc>
        <w:tc>
          <w:tcPr>
            <w:tcW w:w="1559" w:type="dxa"/>
            <w:vAlign w:val="center"/>
          </w:tcPr>
          <w:p w:rsidR="0041333C" w:rsidRDefault="0041333C" w:rsidP="0041333C">
            <w:pPr>
              <w:jc w:val="right"/>
              <w:rPr>
                <w:color w:val="000000"/>
              </w:rPr>
            </w:pPr>
            <w:r>
              <w:rPr>
                <w:color w:val="000000"/>
              </w:rPr>
              <w:t>308,410</w:t>
            </w:r>
          </w:p>
        </w:tc>
      </w:tr>
      <w:tr w:rsidR="0041333C" w:rsidRPr="00EF106F" w:rsidTr="00E87C7F">
        <w:trPr>
          <w:cantSplit/>
          <w:trHeight w:val="280"/>
        </w:trPr>
        <w:tc>
          <w:tcPr>
            <w:tcW w:w="567" w:type="dxa"/>
            <w:shd w:val="clear" w:color="auto" w:fill="auto"/>
            <w:noWrap/>
          </w:tcPr>
          <w:p w:rsidR="0041333C" w:rsidRDefault="0041333C" w:rsidP="0041333C">
            <w:r w:rsidRPr="00C9630A">
              <w:t>2</w:t>
            </w:r>
            <w:r>
              <w:t>4</w:t>
            </w:r>
          </w:p>
        </w:tc>
        <w:tc>
          <w:tcPr>
            <w:tcW w:w="2405" w:type="dxa"/>
            <w:shd w:val="clear" w:color="auto" w:fill="auto"/>
            <w:noWrap/>
            <w:vAlign w:val="center"/>
          </w:tcPr>
          <w:p w:rsidR="0041333C" w:rsidRDefault="0041333C" w:rsidP="0041333C">
            <w:pPr>
              <w:rPr>
                <w:color w:val="000000"/>
              </w:rPr>
            </w:pPr>
            <w:r>
              <w:rPr>
                <w:color w:val="000000"/>
              </w:rPr>
              <w:t xml:space="preserve">Authority to purchase own shares off market </w:t>
            </w:r>
          </w:p>
        </w:tc>
        <w:tc>
          <w:tcPr>
            <w:tcW w:w="1330" w:type="dxa"/>
            <w:vAlign w:val="center"/>
          </w:tcPr>
          <w:p w:rsidR="0041333C" w:rsidRDefault="0041333C" w:rsidP="0041333C">
            <w:pPr>
              <w:jc w:val="right"/>
              <w:rPr>
                <w:color w:val="000000"/>
              </w:rPr>
            </w:pPr>
            <w:r>
              <w:rPr>
                <w:color w:val="000000"/>
              </w:rPr>
              <w:t>390,751,832</w:t>
            </w:r>
          </w:p>
        </w:tc>
        <w:tc>
          <w:tcPr>
            <w:tcW w:w="895" w:type="dxa"/>
            <w:vAlign w:val="center"/>
          </w:tcPr>
          <w:p w:rsidR="0041333C" w:rsidRDefault="0041333C" w:rsidP="0041333C">
            <w:pPr>
              <w:jc w:val="right"/>
              <w:rPr>
                <w:color w:val="000000"/>
              </w:rPr>
            </w:pPr>
            <w:r>
              <w:rPr>
                <w:color w:val="000000"/>
              </w:rPr>
              <w:t>99.57%</w:t>
            </w:r>
          </w:p>
        </w:tc>
        <w:tc>
          <w:tcPr>
            <w:tcW w:w="1226" w:type="dxa"/>
            <w:vAlign w:val="center"/>
          </w:tcPr>
          <w:p w:rsidR="0041333C" w:rsidRDefault="0041333C" w:rsidP="0041333C">
            <w:pPr>
              <w:jc w:val="right"/>
              <w:rPr>
                <w:color w:val="000000"/>
              </w:rPr>
            </w:pPr>
            <w:r>
              <w:rPr>
                <w:color w:val="000000"/>
              </w:rPr>
              <w:t>1,676,632</w:t>
            </w:r>
          </w:p>
        </w:tc>
        <w:tc>
          <w:tcPr>
            <w:tcW w:w="895" w:type="dxa"/>
            <w:vAlign w:val="center"/>
          </w:tcPr>
          <w:p w:rsidR="0041333C" w:rsidRDefault="0041333C" w:rsidP="0041333C">
            <w:pPr>
              <w:jc w:val="right"/>
              <w:rPr>
                <w:color w:val="000000"/>
              </w:rPr>
            </w:pPr>
            <w:r>
              <w:rPr>
                <w:color w:val="000000"/>
              </w:rPr>
              <w:t>0.43%</w:t>
            </w:r>
          </w:p>
        </w:tc>
        <w:tc>
          <w:tcPr>
            <w:tcW w:w="1466" w:type="dxa"/>
            <w:vAlign w:val="center"/>
          </w:tcPr>
          <w:p w:rsidR="0041333C" w:rsidRDefault="0041333C" w:rsidP="0041333C">
            <w:pPr>
              <w:jc w:val="right"/>
              <w:rPr>
                <w:color w:val="000000"/>
              </w:rPr>
            </w:pPr>
            <w:r>
              <w:rPr>
                <w:color w:val="000000"/>
              </w:rPr>
              <w:t>86.41%</w:t>
            </w:r>
          </w:p>
        </w:tc>
        <w:tc>
          <w:tcPr>
            <w:tcW w:w="1559" w:type="dxa"/>
            <w:vAlign w:val="center"/>
          </w:tcPr>
          <w:p w:rsidR="0041333C" w:rsidRDefault="0041333C" w:rsidP="0041333C">
            <w:pPr>
              <w:jc w:val="right"/>
              <w:rPr>
                <w:color w:val="000000"/>
              </w:rPr>
            </w:pPr>
            <w:r>
              <w:rPr>
                <w:color w:val="000000"/>
              </w:rPr>
              <w:t>321,518</w:t>
            </w:r>
          </w:p>
        </w:tc>
      </w:tr>
      <w:tr w:rsidR="0041333C" w:rsidRPr="00EF106F" w:rsidTr="00E87C7F">
        <w:trPr>
          <w:cantSplit/>
          <w:trHeight w:val="280"/>
        </w:trPr>
        <w:tc>
          <w:tcPr>
            <w:tcW w:w="567" w:type="dxa"/>
            <w:shd w:val="clear" w:color="auto" w:fill="auto"/>
            <w:noWrap/>
          </w:tcPr>
          <w:p w:rsidR="0041333C" w:rsidRDefault="0041333C" w:rsidP="0041333C">
            <w:r w:rsidRPr="00C9630A">
              <w:t>2</w:t>
            </w:r>
            <w:r>
              <w:t>5</w:t>
            </w:r>
          </w:p>
        </w:tc>
        <w:tc>
          <w:tcPr>
            <w:tcW w:w="2405" w:type="dxa"/>
            <w:shd w:val="clear" w:color="auto" w:fill="auto"/>
            <w:noWrap/>
            <w:vAlign w:val="center"/>
          </w:tcPr>
          <w:p w:rsidR="0041333C" w:rsidRDefault="0041333C" w:rsidP="0041333C">
            <w:pPr>
              <w:rPr>
                <w:color w:val="000000"/>
              </w:rPr>
            </w:pPr>
            <w:r>
              <w:rPr>
                <w:color w:val="000000"/>
              </w:rPr>
              <w:t xml:space="preserve">Notice period for general meetings other than AGM </w:t>
            </w:r>
          </w:p>
        </w:tc>
        <w:tc>
          <w:tcPr>
            <w:tcW w:w="1330" w:type="dxa"/>
            <w:vAlign w:val="center"/>
          </w:tcPr>
          <w:p w:rsidR="0041333C" w:rsidRDefault="0041333C" w:rsidP="0041333C">
            <w:pPr>
              <w:jc w:val="right"/>
              <w:rPr>
                <w:color w:val="000000"/>
              </w:rPr>
            </w:pPr>
            <w:r>
              <w:rPr>
                <w:color w:val="000000"/>
              </w:rPr>
              <w:t>383,793,591</w:t>
            </w:r>
          </w:p>
        </w:tc>
        <w:tc>
          <w:tcPr>
            <w:tcW w:w="895" w:type="dxa"/>
            <w:vAlign w:val="center"/>
          </w:tcPr>
          <w:p w:rsidR="0041333C" w:rsidRDefault="0041333C" w:rsidP="0041333C">
            <w:pPr>
              <w:jc w:val="right"/>
              <w:rPr>
                <w:color w:val="000000"/>
              </w:rPr>
            </w:pPr>
            <w:r>
              <w:rPr>
                <w:color w:val="000000"/>
              </w:rPr>
              <w:t>97.73%</w:t>
            </w:r>
          </w:p>
        </w:tc>
        <w:tc>
          <w:tcPr>
            <w:tcW w:w="1226" w:type="dxa"/>
            <w:vAlign w:val="center"/>
          </w:tcPr>
          <w:p w:rsidR="0041333C" w:rsidRDefault="0041333C" w:rsidP="0041333C">
            <w:pPr>
              <w:jc w:val="right"/>
              <w:rPr>
                <w:color w:val="000000"/>
              </w:rPr>
            </w:pPr>
            <w:r>
              <w:rPr>
                <w:color w:val="000000"/>
              </w:rPr>
              <w:t>8,907,602</w:t>
            </w:r>
          </w:p>
        </w:tc>
        <w:tc>
          <w:tcPr>
            <w:tcW w:w="895" w:type="dxa"/>
            <w:vAlign w:val="center"/>
          </w:tcPr>
          <w:p w:rsidR="0041333C" w:rsidRDefault="0041333C" w:rsidP="0041333C">
            <w:pPr>
              <w:jc w:val="right"/>
              <w:rPr>
                <w:color w:val="000000"/>
              </w:rPr>
            </w:pPr>
            <w:r>
              <w:rPr>
                <w:color w:val="000000"/>
              </w:rPr>
              <w:t>2.27%</w:t>
            </w:r>
          </w:p>
        </w:tc>
        <w:tc>
          <w:tcPr>
            <w:tcW w:w="1466" w:type="dxa"/>
            <w:vAlign w:val="center"/>
          </w:tcPr>
          <w:p w:rsidR="0041333C" w:rsidRDefault="0041333C" w:rsidP="0041333C">
            <w:pPr>
              <w:jc w:val="right"/>
              <w:rPr>
                <w:color w:val="000000"/>
              </w:rPr>
            </w:pPr>
            <w:r>
              <w:rPr>
                <w:color w:val="000000"/>
              </w:rPr>
              <w:t>86.47%</w:t>
            </w:r>
          </w:p>
        </w:tc>
        <w:tc>
          <w:tcPr>
            <w:tcW w:w="1559" w:type="dxa"/>
            <w:vAlign w:val="center"/>
          </w:tcPr>
          <w:p w:rsidR="0041333C" w:rsidRDefault="0041333C" w:rsidP="0041333C">
            <w:pPr>
              <w:jc w:val="right"/>
              <w:rPr>
                <w:color w:val="000000"/>
              </w:rPr>
            </w:pPr>
            <w:r>
              <w:rPr>
                <w:color w:val="000000"/>
              </w:rPr>
              <w:t>48,789</w:t>
            </w:r>
          </w:p>
        </w:tc>
      </w:tr>
    </w:tbl>
    <w:p w:rsidR="00A20AC1" w:rsidRPr="00EF106F" w:rsidRDefault="006E5330"/>
    <w:p w:rsidR="00F945CD" w:rsidRPr="00EF106F" w:rsidRDefault="00536DA0" w:rsidP="00F945CD">
      <w:pPr>
        <w:rPr>
          <w:i/>
        </w:rPr>
      </w:pPr>
      <w:r w:rsidRPr="00EF106F">
        <w:rPr>
          <w:i/>
        </w:rPr>
        <w:t>Notes:</w:t>
      </w:r>
    </w:p>
    <w:p w:rsidR="00F945CD" w:rsidRPr="00EF106F" w:rsidRDefault="006E5330" w:rsidP="00F945CD">
      <w:pPr>
        <w:rPr>
          <w:i/>
        </w:rPr>
      </w:pPr>
    </w:p>
    <w:tbl>
      <w:tblPr>
        <w:tblW w:w="10348" w:type="dxa"/>
        <w:tblLook w:val="04A0" w:firstRow="1" w:lastRow="0" w:firstColumn="1" w:lastColumn="0" w:noHBand="0" w:noVBand="1"/>
      </w:tblPr>
      <w:tblGrid>
        <w:gridCol w:w="567"/>
        <w:gridCol w:w="9781"/>
      </w:tblGrid>
      <w:tr w:rsidR="00F3677A" w:rsidRPr="00EF106F" w:rsidTr="004569D7">
        <w:trPr>
          <w:trHeight w:val="280"/>
        </w:trPr>
        <w:tc>
          <w:tcPr>
            <w:tcW w:w="567" w:type="dxa"/>
            <w:tcBorders>
              <w:top w:val="nil"/>
              <w:left w:val="nil"/>
              <w:bottom w:val="nil"/>
              <w:right w:val="nil"/>
            </w:tcBorders>
            <w:shd w:val="clear" w:color="auto" w:fill="auto"/>
            <w:noWrap/>
          </w:tcPr>
          <w:p w:rsidR="00F945CD" w:rsidRPr="00EF106F" w:rsidRDefault="00536DA0" w:rsidP="001615E1">
            <w:pPr>
              <w:rPr>
                <w:i/>
              </w:rPr>
            </w:pPr>
            <w:r w:rsidRPr="00EF106F">
              <w:rPr>
                <w:i/>
              </w:rPr>
              <w:t>1</w:t>
            </w:r>
          </w:p>
        </w:tc>
        <w:tc>
          <w:tcPr>
            <w:tcW w:w="9781" w:type="dxa"/>
            <w:tcBorders>
              <w:top w:val="nil"/>
              <w:left w:val="nil"/>
              <w:bottom w:val="nil"/>
              <w:right w:val="nil"/>
            </w:tcBorders>
            <w:shd w:val="clear" w:color="auto" w:fill="auto"/>
            <w:noWrap/>
          </w:tcPr>
          <w:p w:rsidR="00F945CD" w:rsidRPr="00EF106F" w:rsidRDefault="00536DA0" w:rsidP="001615E1">
            <w:pPr>
              <w:rPr>
                <w:i/>
              </w:rPr>
            </w:pPr>
            <w:r w:rsidRPr="00EF106F">
              <w:rPr>
                <w:i/>
              </w:rPr>
              <w:t>Votes “For” and “Against” are expressed as a percentage of votes received.</w:t>
            </w:r>
          </w:p>
          <w:p w:rsidR="00F945CD" w:rsidRPr="00EF106F" w:rsidRDefault="006E5330" w:rsidP="001615E1">
            <w:pPr>
              <w:rPr>
                <w:i/>
              </w:rPr>
            </w:pPr>
          </w:p>
        </w:tc>
      </w:tr>
      <w:tr w:rsidR="004569D7" w:rsidRPr="00EF106F" w:rsidTr="004569D7">
        <w:trPr>
          <w:trHeight w:val="280"/>
        </w:trPr>
        <w:tc>
          <w:tcPr>
            <w:tcW w:w="567" w:type="dxa"/>
            <w:tcBorders>
              <w:top w:val="nil"/>
              <w:left w:val="nil"/>
              <w:bottom w:val="nil"/>
              <w:right w:val="nil"/>
            </w:tcBorders>
            <w:shd w:val="clear" w:color="auto" w:fill="auto"/>
            <w:noWrap/>
          </w:tcPr>
          <w:p w:rsidR="004569D7" w:rsidRPr="00EF106F" w:rsidRDefault="004569D7" w:rsidP="00FE7766">
            <w:pPr>
              <w:rPr>
                <w:i/>
              </w:rPr>
            </w:pPr>
            <w:r>
              <w:rPr>
                <w:i/>
              </w:rPr>
              <w:t>2</w:t>
            </w:r>
          </w:p>
        </w:tc>
        <w:tc>
          <w:tcPr>
            <w:tcW w:w="9781" w:type="dxa"/>
            <w:tcBorders>
              <w:top w:val="nil"/>
              <w:left w:val="nil"/>
              <w:bottom w:val="nil"/>
              <w:right w:val="nil"/>
            </w:tcBorders>
            <w:shd w:val="clear" w:color="auto" w:fill="auto"/>
            <w:noWrap/>
          </w:tcPr>
          <w:p w:rsidR="004569D7" w:rsidRPr="00EF106F" w:rsidRDefault="004569D7" w:rsidP="00FE7766">
            <w:pPr>
              <w:rPr>
                <w:i/>
              </w:rPr>
            </w:pPr>
            <w:r w:rsidRPr="00EF106F">
              <w:rPr>
                <w:i/>
              </w:rPr>
              <w:t xml:space="preserve">As at </w:t>
            </w:r>
            <w:r w:rsidR="0041333C">
              <w:rPr>
                <w:i/>
              </w:rPr>
              <w:t>4</w:t>
            </w:r>
            <w:r w:rsidRPr="00EF106F">
              <w:rPr>
                <w:i/>
              </w:rPr>
              <w:t>.</w:t>
            </w:r>
            <w:r>
              <w:rPr>
                <w:i/>
              </w:rPr>
              <w:t>3</w:t>
            </w:r>
            <w:r w:rsidRPr="00EF106F">
              <w:rPr>
                <w:i/>
              </w:rPr>
              <w:t>0</w:t>
            </w:r>
            <w:r>
              <w:rPr>
                <w:i/>
              </w:rPr>
              <w:t>p</w:t>
            </w:r>
            <w:r w:rsidRPr="00EF106F">
              <w:rPr>
                <w:i/>
              </w:rPr>
              <w:t xml:space="preserve">m on </w:t>
            </w:r>
            <w:r>
              <w:rPr>
                <w:i/>
              </w:rPr>
              <w:t>Mon</w:t>
            </w:r>
            <w:r w:rsidRPr="00EF106F">
              <w:rPr>
                <w:i/>
              </w:rPr>
              <w:t xml:space="preserve">day </w:t>
            </w:r>
            <w:r w:rsidR="0041333C">
              <w:rPr>
                <w:i/>
              </w:rPr>
              <w:t>25</w:t>
            </w:r>
            <w:r>
              <w:rPr>
                <w:i/>
              </w:rPr>
              <w:t xml:space="preserve"> May 20</w:t>
            </w:r>
            <w:r w:rsidR="0041333C">
              <w:rPr>
                <w:i/>
              </w:rPr>
              <w:t>20</w:t>
            </w:r>
            <w:r w:rsidRPr="00EF106F">
              <w:rPr>
                <w:i/>
              </w:rPr>
              <w:t xml:space="preserve">, the time by which shareholders who wanted to attend, speak and vote at the AGM must have been entered on the Company’s register of members, there were </w:t>
            </w:r>
            <w:r w:rsidR="0041333C" w:rsidRPr="0041333C">
              <w:rPr>
                <w:i/>
              </w:rPr>
              <w:t>454,161,479</w:t>
            </w:r>
            <w:r w:rsidR="0041333C">
              <w:rPr>
                <w:i/>
              </w:rPr>
              <w:t xml:space="preserve"> </w:t>
            </w:r>
            <w:r>
              <w:rPr>
                <w:i/>
              </w:rPr>
              <w:t>ordinary shares in issue.</w:t>
            </w:r>
          </w:p>
          <w:p w:rsidR="004569D7" w:rsidRPr="00EF106F" w:rsidRDefault="004569D7" w:rsidP="00FE7766">
            <w:pPr>
              <w:rPr>
                <w:i/>
              </w:rPr>
            </w:pPr>
          </w:p>
        </w:tc>
      </w:tr>
      <w:tr w:rsidR="00F3677A" w:rsidRPr="00EF106F" w:rsidTr="004569D7">
        <w:trPr>
          <w:trHeight w:val="280"/>
        </w:trPr>
        <w:tc>
          <w:tcPr>
            <w:tcW w:w="567" w:type="dxa"/>
            <w:tcBorders>
              <w:top w:val="nil"/>
              <w:left w:val="nil"/>
              <w:bottom w:val="nil"/>
              <w:right w:val="nil"/>
            </w:tcBorders>
            <w:shd w:val="clear" w:color="auto" w:fill="auto"/>
            <w:noWrap/>
          </w:tcPr>
          <w:p w:rsidR="00F945CD" w:rsidRPr="00EF106F" w:rsidRDefault="004569D7" w:rsidP="001615E1">
            <w:pPr>
              <w:rPr>
                <w:i/>
              </w:rPr>
            </w:pPr>
            <w:r>
              <w:rPr>
                <w:i/>
              </w:rPr>
              <w:t>3</w:t>
            </w:r>
          </w:p>
        </w:tc>
        <w:tc>
          <w:tcPr>
            <w:tcW w:w="9781" w:type="dxa"/>
            <w:tcBorders>
              <w:top w:val="nil"/>
              <w:left w:val="nil"/>
              <w:bottom w:val="nil"/>
              <w:right w:val="nil"/>
            </w:tcBorders>
            <w:shd w:val="clear" w:color="auto" w:fill="auto"/>
            <w:noWrap/>
          </w:tcPr>
          <w:p w:rsidR="00F945CD" w:rsidRPr="00EF106F" w:rsidRDefault="00536DA0" w:rsidP="001615E1">
            <w:pPr>
              <w:rPr>
                <w:i/>
              </w:rPr>
            </w:pPr>
            <w:r w:rsidRPr="00EF106F">
              <w:rPr>
                <w:i/>
              </w:rPr>
              <w:t>A “Vote Withheld” is not a vote in law and is not counted in the calculation of the proportion of votes “For” or “Against” a resolution.</w:t>
            </w:r>
          </w:p>
          <w:p w:rsidR="00F945CD" w:rsidRPr="00EF106F" w:rsidRDefault="006E5330" w:rsidP="001615E1">
            <w:pPr>
              <w:rPr>
                <w:i/>
              </w:rPr>
            </w:pPr>
          </w:p>
        </w:tc>
      </w:tr>
      <w:tr w:rsidR="00EF106F" w:rsidRPr="00EF106F" w:rsidTr="004569D7">
        <w:trPr>
          <w:trHeight w:val="280"/>
        </w:trPr>
        <w:tc>
          <w:tcPr>
            <w:tcW w:w="567" w:type="dxa"/>
            <w:tcBorders>
              <w:top w:val="nil"/>
              <w:left w:val="nil"/>
              <w:bottom w:val="nil"/>
              <w:right w:val="nil"/>
            </w:tcBorders>
            <w:shd w:val="clear" w:color="auto" w:fill="auto"/>
            <w:noWrap/>
          </w:tcPr>
          <w:p w:rsidR="00252764" w:rsidRPr="00EF106F" w:rsidRDefault="00536DA0" w:rsidP="00EF106F">
            <w:pPr>
              <w:rPr>
                <w:i/>
              </w:rPr>
            </w:pPr>
            <w:r w:rsidRPr="00EF106F">
              <w:rPr>
                <w:i/>
              </w:rPr>
              <w:t>4</w:t>
            </w:r>
          </w:p>
        </w:tc>
        <w:tc>
          <w:tcPr>
            <w:tcW w:w="9781" w:type="dxa"/>
            <w:tcBorders>
              <w:top w:val="nil"/>
              <w:left w:val="nil"/>
              <w:bottom w:val="nil"/>
              <w:right w:val="nil"/>
            </w:tcBorders>
            <w:shd w:val="clear" w:color="auto" w:fill="auto"/>
            <w:noWrap/>
          </w:tcPr>
          <w:p w:rsidR="00536DA0" w:rsidRPr="00EF106F" w:rsidRDefault="00297643" w:rsidP="00536DA0">
            <w:pPr>
              <w:rPr>
                <w:i/>
              </w:rPr>
            </w:pPr>
            <w:r>
              <w:rPr>
                <w:i/>
              </w:rPr>
              <w:t xml:space="preserve">Resolution </w:t>
            </w:r>
            <w:r w:rsidR="0041333C">
              <w:rPr>
                <w:i/>
              </w:rPr>
              <w:t>21</w:t>
            </w:r>
            <w:r w:rsidR="00536DA0" w:rsidRPr="00EF106F">
              <w:rPr>
                <w:i/>
              </w:rPr>
              <w:t xml:space="preserve"> was put to the AGM as a resolution of the shareholders of the Company other than Olive Partners, S.A. (“</w:t>
            </w:r>
            <w:r w:rsidR="00536DA0" w:rsidRPr="00EF106F">
              <w:rPr>
                <w:b/>
                <w:i/>
              </w:rPr>
              <w:t>Olive</w:t>
            </w:r>
            <w:r w:rsidR="00536DA0" w:rsidRPr="00EF106F">
              <w:rPr>
                <w:i/>
              </w:rPr>
              <w:t>”)</w:t>
            </w:r>
            <w:r w:rsidR="00EF106F" w:rsidRPr="00EF106F">
              <w:rPr>
                <w:i/>
              </w:rPr>
              <w:t xml:space="preserve"> or any concert party of Olive.</w:t>
            </w:r>
          </w:p>
        </w:tc>
      </w:tr>
    </w:tbl>
    <w:p w:rsidR="00F945CD" w:rsidRPr="00EF106F" w:rsidRDefault="006E5330" w:rsidP="00F945CD"/>
    <w:p w:rsidR="00F945CD" w:rsidRPr="00EF106F" w:rsidRDefault="00536DA0" w:rsidP="00F945CD">
      <w:r w:rsidRPr="00EF106F">
        <w:t xml:space="preserve">In particular, in accordance with Section 6(A) of Appendix 1 to the Takeover Code, the Company announces that </w:t>
      </w:r>
      <w:r w:rsidRPr="00C758D3">
        <w:t>sha</w:t>
      </w:r>
      <w:r w:rsidR="00297643" w:rsidRPr="00C758D3">
        <w:t>reholders approved resolution</w:t>
      </w:r>
      <w:r w:rsidR="00297643">
        <w:t xml:space="preserve"> </w:t>
      </w:r>
      <w:r w:rsidR="0041333C">
        <w:t>21</w:t>
      </w:r>
      <w:r w:rsidRPr="00EF106F">
        <w:t>, setting out the terms of the waiver of mandatory offer provisions in Rule 9 of the Takeover Code (the “</w:t>
      </w:r>
      <w:r w:rsidRPr="00EF106F">
        <w:rPr>
          <w:b/>
        </w:rPr>
        <w:t>Waiver</w:t>
      </w:r>
      <w:r w:rsidRPr="00EF106F">
        <w:t>”).</w:t>
      </w:r>
    </w:p>
    <w:p w:rsidR="00F945CD" w:rsidRPr="00EF106F" w:rsidRDefault="006E5330" w:rsidP="00F945CD"/>
    <w:p w:rsidR="00F945CD" w:rsidRPr="00EF106F" w:rsidRDefault="00536DA0" w:rsidP="00F945CD">
      <w:pPr>
        <w:autoSpaceDE w:val="0"/>
        <w:autoSpaceDN w:val="0"/>
        <w:adjustRightInd w:val="0"/>
      </w:pPr>
      <w:r w:rsidRPr="00EF106F">
        <w:t xml:space="preserve">Olive is currently interested in 166,128,987 shares in the Company and the Waiver does not entitle Olive to be interested </w:t>
      </w:r>
      <w:r w:rsidR="000313C2">
        <w:t xml:space="preserve">in a greater number of shares. </w:t>
      </w:r>
      <w:r w:rsidRPr="00EF106F">
        <w:t xml:space="preserve">The Waiver would allow Olive’s interest in shares as a percentage of the Company’s total shares to increase </w:t>
      </w:r>
      <w:proofErr w:type="gramStart"/>
      <w:r w:rsidRPr="00EF106F">
        <w:t>as a result of</w:t>
      </w:r>
      <w:proofErr w:type="gramEnd"/>
      <w:r w:rsidRPr="00EF106F">
        <w:t xml:space="preserve"> the exercise of the Company’s authorities to purchase its own shares, but only to the extent that the resulting interest of Olive, together with any concert parties, in the shares of the Company did not then </w:t>
      </w:r>
      <w:r w:rsidRPr="008B3C44">
        <w:t xml:space="preserve">exceed </w:t>
      </w:r>
      <w:r w:rsidR="00175F32" w:rsidRPr="00175F32">
        <w:t>40.6441</w:t>
      </w:r>
      <w:r w:rsidRPr="008B3C44">
        <w:t>%.</w:t>
      </w:r>
    </w:p>
    <w:p w:rsidR="00F945CD" w:rsidRPr="00EF106F" w:rsidRDefault="006E5330" w:rsidP="00F945CD">
      <w:pPr>
        <w:autoSpaceDE w:val="0"/>
        <w:autoSpaceDN w:val="0"/>
        <w:adjustRightInd w:val="0"/>
      </w:pPr>
    </w:p>
    <w:p w:rsidR="00F945CD" w:rsidRDefault="00536DA0" w:rsidP="00F945CD">
      <w:pPr>
        <w:autoSpaceDE w:val="0"/>
        <w:autoSpaceDN w:val="0"/>
        <w:adjustRightInd w:val="0"/>
      </w:pPr>
      <w:r w:rsidRPr="00EF106F">
        <w:t xml:space="preserve">In accordance with Listing Rule 14.3.6R, copies of the resolutions that do not constitute ordinary business at an annual general meeting will be submitted to the National Storage Mechanism and will shortly be available for inspection at </w:t>
      </w:r>
      <w:hyperlink r:id="rId7" w:anchor="/nsm/nationalstoragemechanism" w:history="1">
        <w:r w:rsidR="00175F32" w:rsidRPr="00983714">
          <w:rPr>
            <w:rStyle w:val="Hyperlink"/>
          </w:rPr>
          <w:t>https://data.fca.org.uk/#/nsm/nationalstoragemechanism</w:t>
        </w:r>
      </w:hyperlink>
      <w:r w:rsidR="00175F32">
        <w:t>.</w:t>
      </w:r>
    </w:p>
    <w:p w:rsidR="00175F32" w:rsidRDefault="00175F32" w:rsidP="00F945CD">
      <w:pPr>
        <w:autoSpaceDE w:val="0"/>
        <w:autoSpaceDN w:val="0"/>
        <w:adjustRightInd w:val="0"/>
      </w:pPr>
    </w:p>
    <w:p w:rsidR="004569D7" w:rsidRPr="00EF106F" w:rsidRDefault="004569D7" w:rsidP="00F945CD">
      <w:pPr>
        <w:autoSpaceDE w:val="0"/>
        <w:autoSpaceDN w:val="0"/>
        <w:adjustRightInd w:val="0"/>
      </w:pPr>
    </w:p>
    <w:p w:rsidR="00F945CD" w:rsidRPr="00EF106F" w:rsidRDefault="00536DA0" w:rsidP="00F945CD">
      <w:pPr>
        <w:autoSpaceDE w:val="0"/>
        <w:autoSpaceDN w:val="0"/>
        <w:adjustRightInd w:val="0"/>
        <w:rPr>
          <w:b/>
        </w:rPr>
      </w:pPr>
      <w:r w:rsidRPr="00EF106F">
        <w:rPr>
          <w:b/>
        </w:rPr>
        <w:t>CONTACTS</w:t>
      </w:r>
    </w:p>
    <w:p w:rsidR="00103D53" w:rsidRDefault="006E5330" w:rsidP="00103D53">
      <w:pPr>
        <w:autoSpaceDE w:val="0"/>
        <w:autoSpaceDN w:val="0"/>
        <w:adjustRightInd w:val="0"/>
      </w:pPr>
    </w:p>
    <w:tbl>
      <w:tblPr>
        <w:tblStyle w:val="TableGrid"/>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4569D7" w:rsidTr="004569D7">
        <w:tc>
          <w:tcPr>
            <w:tcW w:w="3398" w:type="dxa"/>
          </w:tcPr>
          <w:p w:rsidR="004569D7" w:rsidRPr="00EF106F" w:rsidRDefault="004569D7" w:rsidP="004569D7">
            <w:pPr>
              <w:autoSpaceDE w:val="0"/>
              <w:autoSpaceDN w:val="0"/>
              <w:adjustRightInd w:val="0"/>
              <w:rPr>
                <w:b/>
              </w:rPr>
            </w:pPr>
            <w:r w:rsidRPr="00EF106F">
              <w:rPr>
                <w:b/>
              </w:rPr>
              <w:t>Company Secretariat</w:t>
            </w:r>
          </w:p>
          <w:p w:rsidR="004569D7" w:rsidRPr="00EF106F" w:rsidRDefault="004569D7" w:rsidP="004569D7">
            <w:pPr>
              <w:autoSpaceDE w:val="0"/>
              <w:autoSpaceDN w:val="0"/>
              <w:adjustRightInd w:val="0"/>
              <w:rPr>
                <w:b/>
              </w:rPr>
            </w:pPr>
            <w:r w:rsidRPr="00EF106F">
              <w:rPr>
                <w:b/>
              </w:rPr>
              <w:t>Clare Wardle</w:t>
            </w:r>
          </w:p>
          <w:p w:rsidR="004569D7" w:rsidRPr="00EF106F" w:rsidRDefault="004569D7" w:rsidP="004569D7">
            <w:pPr>
              <w:autoSpaceDE w:val="0"/>
              <w:autoSpaceDN w:val="0"/>
              <w:adjustRightInd w:val="0"/>
            </w:pPr>
            <w:r w:rsidRPr="00EF106F">
              <w:t>T +44 (0)20 7355 8406</w:t>
            </w:r>
          </w:p>
        </w:tc>
        <w:tc>
          <w:tcPr>
            <w:tcW w:w="3398" w:type="dxa"/>
          </w:tcPr>
          <w:p w:rsidR="004569D7" w:rsidRPr="00EF106F" w:rsidRDefault="004569D7" w:rsidP="004569D7">
            <w:pPr>
              <w:autoSpaceDE w:val="0"/>
              <w:autoSpaceDN w:val="0"/>
              <w:adjustRightInd w:val="0"/>
              <w:rPr>
                <w:b/>
              </w:rPr>
            </w:pPr>
            <w:r w:rsidRPr="00EF106F">
              <w:rPr>
                <w:b/>
              </w:rPr>
              <w:t>Investor Relations</w:t>
            </w:r>
          </w:p>
          <w:p w:rsidR="004569D7" w:rsidRDefault="004569D7" w:rsidP="004569D7">
            <w:pPr>
              <w:autoSpaceDE w:val="0"/>
              <w:autoSpaceDN w:val="0"/>
              <w:adjustRightInd w:val="0"/>
              <w:rPr>
                <w:b/>
              </w:rPr>
            </w:pPr>
            <w:r w:rsidRPr="001D466E">
              <w:rPr>
                <w:b/>
              </w:rPr>
              <w:t>Sarah Willett</w:t>
            </w:r>
          </w:p>
          <w:p w:rsidR="004569D7" w:rsidRPr="00EF106F" w:rsidRDefault="004569D7" w:rsidP="004569D7">
            <w:pPr>
              <w:autoSpaceDE w:val="0"/>
              <w:autoSpaceDN w:val="0"/>
              <w:adjustRightInd w:val="0"/>
            </w:pPr>
            <w:r w:rsidRPr="00EF106F">
              <w:t xml:space="preserve">T </w:t>
            </w:r>
            <w:r w:rsidRPr="001D466E">
              <w:t xml:space="preserve">+44 </w:t>
            </w:r>
            <w:r>
              <w:t>(0)</w:t>
            </w:r>
            <w:r w:rsidRPr="001D466E">
              <w:t>7970 145 218</w:t>
            </w:r>
          </w:p>
        </w:tc>
        <w:tc>
          <w:tcPr>
            <w:tcW w:w="3398" w:type="dxa"/>
          </w:tcPr>
          <w:p w:rsidR="004569D7" w:rsidRPr="00EF106F" w:rsidRDefault="004569D7" w:rsidP="004569D7">
            <w:pPr>
              <w:autoSpaceDE w:val="0"/>
              <w:autoSpaceDN w:val="0"/>
              <w:adjustRightInd w:val="0"/>
              <w:rPr>
                <w:b/>
              </w:rPr>
            </w:pPr>
            <w:r w:rsidRPr="00EF106F">
              <w:rPr>
                <w:b/>
              </w:rPr>
              <w:t>Media Relations</w:t>
            </w:r>
          </w:p>
          <w:p w:rsidR="004569D7" w:rsidRPr="00EF106F" w:rsidRDefault="004569D7" w:rsidP="004569D7">
            <w:pPr>
              <w:autoSpaceDE w:val="0"/>
              <w:autoSpaceDN w:val="0"/>
              <w:adjustRightInd w:val="0"/>
              <w:rPr>
                <w:b/>
              </w:rPr>
            </w:pPr>
            <w:r w:rsidRPr="00EF106F">
              <w:rPr>
                <w:b/>
              </w:rPr>
              <w:t>Shanna Wendt</w:t>
            </w:r>
          </w:p>
          <w:p w:rsidR="004569D7" w:rsidRPr="00EF106F" w:rsidRDefault="004569D7" w:rsidP="004569D7">
            <w:pPr>
              <w:autoSpaceDE w:val="0"/>
              <w:autoSpaceDN w:val="0"/>
              <w:adjustRightInd w:val="0"/>
            </w:pPr>
            <w:r w:rsidRPr="00EF106F">
              <w:t>T +44 (0)7976 595 168</w:t>
            </w:r>
          </w:p>
        </w:tc>
      </w:tr>
    </w:tbl>
    <w:p w:rsidR="004569D7" w:rsidRDefault="004569D7" w:rsidP="00103D53">
      <w:pPr>
        <w:autoSpaceDE w:val="0"/>
        <w:autoSpaceDN w:val="0"/>
        <w:adjustRightInd w:val="0"/>
      </w:pPr>
    </w:p>
    <w:p w:rsidR="00175F32" w:rsidRDefault="00175F32" w:rsidP="00F945CD">
      <w:pPr>
        <w:autoSpaceDE w:val="0"/>
        <w:autoSpaceDN w:val="0"/>
        <w:adjustRightInd w:val="0"/>
      </w:pPr>
    </w:p>
    <w:p w:rsidR="00175F32" w:rsidRDefault="00175F32" w:rsidP="00F945CD">
      <w:pPr>
        <w:autoSpaceDE w:val="0"/>
        <w:autoSpaceDN w:val="0"/>
        <w:adjustRightInd w:val="0"/>
        <w:rPr>
          <w:b/>
        </w:rPr>
      </w:pPr>
    </w:p>
    <w:p w:rsidR="00103D53" w:rsidRPr="00EF106F" w:rsidRDefault="00536DA0" w:rsidP="00F945CD">
      <w:pPr>
        <w:autoSpaceDE w:val="0"/>
        <w:autoSpaceDN w:val="0"/>
        <w:adjustRightInd w:val="0"/>
        <w:rPr>
          <w:b/>
        </w:rPr>
      </w:pPr>
      <w:r w:rsidRPr="00EF106F">
        <w:rPr>
          <w:b/>
        </w:rPr>
        <w:lastRenderedPageBreak/>
        <w:t>ABOUT CCEP</w:t>
      </w:r>
    </w:p>
    <w:p w:rsidR="0079690B" w:rsidRPr="00EF106F" w:rsidRDefault="0079690B" w:rsidP="00103D53">
      <w:pPr>
        <w:autoSpaceDE w:val="0"/>
        <w:autoSpaceDN w:val="0"/>
        <w:adjustRightInd w:val="0"/>
      </w:pPr>
    </w:p>
    <w:p w:rsidR="00175F32" w:rsidRDefault="00175F32" w:rsidP="00175F32">
      <w:pPr>
        <w:rPr>
          <w:lang w:val="x-none"/>
        </w:rPr>
      </w:pPr>
      <w:r w:rsidRPr="00AA3641">
        <w:rPr>
          <w:lang w:val="x-none"/>
        </w:rPr>
        <w:t>Coca-Cola European Partners plc is a leading consumer goods company in Western Europe, making, selling &amp; distributing an</w:t>
      </w:r>
      <w:r w:rsidRPr="00AA3641">
        <w:t xml:space="preserve"> </w:t>
      </w:r>
      <w:r w:rsidRPr="00AA3641">
        <w:rPr>
          <w:lang w:val="x-none"/>
        </w:rPr>
        <w:t>extensive range of non-alcoholic ready to drink beverages &amp; is the world's largest Coca-Cola bottler based on revenue. Coca</w:t>
      </w:r>
      <w:r w:rsidRPr="00AA3641">
        <w:t>-</w:t>
      </w:r>
      <w:r w:rsidRPr="00AA3641">
        <w:rPr>
          <w:lang w:val="x-none"/>
        </w:rPr>
        <w:t>Cola</w:t>
      </w:r>
      <w:r w:rsidRPr="00AA3641">
        <w:t xml:space="preserve"> </w:t>
      </w:r>
      <w:r w:rsidRPr="00AA3641">
        <w:rPr>
          <w:lang w:val="x-none"/>
        </w:rPr>
        <w:t>European Partners serves a consumer population of over 300 million across Western Europe, including Andorra, Belgium,</w:t>
      </w:r>
      <w:r w:rsidRPr="00AA3641">
        <w:t xml:space="preserve"> </w:t>
      </w:r>
      <w:r w:rsidRPr="00AA3641">
        <w:rPr>
          <w:lang w:val="x-none"/>
        </w:rPr>
        <w:t>continental France, Germany, Great Britain, Iceland, Luxembourg, Monaco, the Netherlands, Norway, Portugal, Spain &amp; Sweden.</w:t>
      </w:r>
      <w:r w:rsidRPr="00AA3641">
        <w:t xml:space="preserve"> </w:t>
      </w:r>
      <w:r w:rsidRPr="00AA3641">
        <w:rPr>
          <w:lang w:val="x-none"/>
        </w:rPr>
        <w:t>The Company is listed on Euronext Amsterdam, the New York Stock Exchange, London Stock Exchange &amp; on the Spanish</w:t>
      </w:r>
      <w:r w:rsidRPr="00AA3641">
        <w:t xml:space="preserve"> </w:t>
      </w:r>
      <w:r w:rsidRPr="00AA3641">
        <w:rPr>
          <w:lang w:val="x-none"/>
        </w:rPr>
        <w:t>Stock Exchanges, trading under the symbol CCEP.</w:t>
      </w:r>
    </w:p>
    <w:p w:rsidR="00175F32" w:rsidRPr="00AA3641" w:rsidRDefault="00175F32" w:rsidP="00175F32">
      <w:pPr>
        <w:rPr>
          <w:lang w:val="x-none"/>
        </w:rPr>
      </w:pPr>
    </w:p>
    <w:p w:rsidR="00175F32" w:rsidRDefault="00175F32" w:rsidP="00175F32">
      <w:pPr>
        <w:rPr>
          <w:lang w:val="x-none"/>
        </w:rPr>
      </w:pPr>
      <w:r w:rsidRPr="00AA3641">
        <w:rPr>
          <w:lang w:val="x-none"/>
        </w:rPr>
        <w:t>For more information about CCEP, please visit www.cocacolaep.com &amp; follow CCEP on Twitter at @</w:t>
      </w:r>
      <w:proofErr w:type="spellStart"/>
      <w:r w:rsidRPr="00AA3641">
        <w:rPr>
          <w:lang w:val="x-none"/>
        </w:rPr>
        <w:t>CocaColaEP</w:t>
      </w:r>
      <w:proofErr w:type="spellEnd"/>
    </w:p>
    <w:p w:rsidR="00175F32" w:rsidRPr="00175F32" w:rsidRDefault="00175F32" w:rsidP="00175F32"/>
    <w:sectPr w:rsidR="00175F32" w:rsidRPr="00175F32" w:rsidSect="004569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2AB" w:rsidRDefault="00536DA0">
      <w:r>
        <w:separator/>
      </w:r>
    </w:p>
  </w:endnote>
  <w:endnote w:type="continuationSeparator" w:id="0">
    <w:p w:rsidR="002732AB" w:rsidRDefault="0053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2AB" w:rsidRDefault="00536DA0">
      <w:r>
        <w:separator/>
      </w:r>
    </w:p>
  </w:footnote>
  <w:footnote w:type="continuationSeparator" w:id="0">
    <w:p w:rsidR="002732AB" w:rsidRDefault="0053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B8D"/>
    <w:multiLevelType w:val="hybridMultilevel"/>
    <w:tmpl w:val="3F04CB20"/>
    <w:lvl w:ilvl="0" w:tplc="2E1C578E">
      <w:start w:val="1"/>
      <w:numFmt w:val="decimal"/>
      <w:lvlText w:val="%1."/>
      <w:lvlJc w:val="left"/>
      <w:pPr>
        <w:ind w:left="360" w:hanging="360"/>
      </w:pPr>
      <w:rPr>
        <w:rFonts w:hint="default"/>
      </w:rPr>
    </w:lvl>
    <w:lvl w:ilvl="1" w:tplc="64FCAF5E" w:tentative="1">
      <w:start w:val="1"/>
      <w:numFmt w:val="lowerLetter"/>
      <w:lvlText w:val="%2."/>
      <w:lvlJc w:val="left"/>
      <w:pPr>
        <w:ind w:left="1080" w:hanging="360"/>
      </w:pPr>
    </w:lvl>
    <w:lvl w:ilvl="2" w:tplc="2006E508" w:tentative="1">
      <w:start w:val="1"/>
      <w:numFmt w:val="lowerRoman"/>
      <w:lvlText w:val="%3."/>
      <w:lvlJc w:val="right"/>
      <w:pPr>
        <w:ind w:left="1800" w:hanging="180"/>
      </w:pPr>
    </w:lvl>
    <w:lvl w:ilvl="3" w:tplc="1DE08876" w:tentative="1">
      <w:start w:val="1"/>
      <w:numFmt w:val="decimal"/>
      <w:lvlText w:val="%4."/>
      <w:lvlJc w:val="left"/>
      <w:pPr>
        <w:ind w:left="2520" w:hanging="360"/>
      </w:pPr>
    </w:lvl>
    <w:lvl w:ilvl="4" w:tplc="AF109C22" w:tentative="1">
      <w:start w:val="1"/>
      <w:numFmt w:val="lowerLetter"/>
      <w:lvlText w:val="%5."/>
      <w:lvlJc w:val="left"/>
      <w:pPr>
        <w:ind w:left="3240" w:hanging="360"/>
      </w:pPr>
    </w:lvl>
    <w:lvl w:ilvl="5" w:tplc="2EE8C4F6" w:tentative="1">
      <w:start w:val="1"/>
      <w:numFmt w:val="lowerRoman"/>
      <w:lvlText w:val="%6."/>
      <w:lvlJc w:val="right"/>
      <w:pPr>
        <w:ind w:left="3960" w:hanging="180"/>
      </w:pPr>
    </w:lvl>
    <w:lvl w:ilvl="6" w:tplc="C94ABEFA" w:tentative="1">
      <w:start w:val="1"/>
      <w:numFmt w:val="decimal"/>
      <w:lvlText w:val="%7."/>
      <w:lvlJc w:val="left"/>
      <w:pPr>
        <w:ind w:left="4680" w:hanging="360"/>
      </w:pPr>
    </w:lvl>
    <w:lvl w:ilvl="7" w:tplc="F9A25E3C" w:tentative="1">
      <w:start w:val="1"/>
      <w:numFmt w:val="lowerLetter"/>
      <w:lvlText w:val="%8."/>
      <w:lvlJc w:val="left"/>
      <w:pPr>
        <w:ind w:left="5400" w:hanging="360"/>
      </w:pPr>
    </w:lvl>
    <w:lvl w:ilvl="8" w:tplc="8580F5D2"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F3677A"/>
    <w:rsid w:val="000313C2"/>
    <w:rsid w:val="00074FB7"/>
    <w:rsid w:val="00121F19"/>
    <w:rsid w:val="00157BC7"/>
    <w:rsid w:val="001747FF"/>
    <w:rsid w:val="00175F32"/>
    <w:rsid w:val="001D466E"/>
    <w:rsid w:val="002732AB"/>
    <w:rsid w:val="00297643"/>
    <w:rsid w:val="00305E50"/>
    <w:rsid w:val="0041333C"/>
    <w:rsid w:val="004569D7"/>
    <w:rsid w:val="00526207"/>
    <w:rsid w:val="00536DA0"/>
    <w:rsid w:val="005D6DDC"/>
    <w:rsid w:val="005E1D11"/>
    <w:rsid w:val="006E5330"/>
    <w:rsid w:val="006F2FF1"/>
    <w:rsid w:val="006F632C"/>
    <w:rsid w:val="0079690B"/>
    <w:rsid w:val="008B3C44"/>
    <w:rsid w:val="008D79BA"/>
    <w:rsid w:val="00B4126E"/>
    <w:rsid w:val="00C758D3"/>
    <w:rsid w:val="00CE68DC"/>
    <w:rsid w:val="00D33C83"/>
    <w:rsid w:val="00E97638"/>
    <w:rsid w:val="00EC1F34"/>
    <w:rsid w:val="00EF106F"/>
    <w:rsid w:val="00F3677A"/>
    <w:rsid w:val="00F5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7A38A7"/>
  <w15:chartTrackingRefBased/>
  <w15:docId w15:val="{884D4E18-0B5A-41D0-A513-DC25E4E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C1"/>
    <w:pPr>
      <w:ind w:left="720"/>
      <w:contextualSpacing/>
    </w:pPr>
  </w:style>
  <w:style w:type="character" w:styleId="Hyperlink">
    <w:name w:val="Hyperlink"/>
    <w:basedOn w:val="DefaultParagraphFont"/>
    <w:uiPriority w:val="99"/>
    <w:unhideWhenUsed/>
    <w:rsid w:val="00F945CD"/>
    <w:rPr>
      <w:color w:val="0563C1" w:themeColor="hyperlink"/>
      <w:u w:val="single"/>
    </w:rPr>
  </w:style>
  <w:style w:type="table" w:customStyle="1" w:styleId="TableGrid1">
    <w:name w:val="Table Grid1"/>
    <w:basedOn w:val="TableNormal"/>
    <w:next w:val="TableGrid"/>
    <w:uiPriority w:val="39"/>
    <w:rsid w:val="00103D5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A5"/>
    <w:rPr>
      <w:rFonts w:ascii="Segoe UI" w:hAnsi="Segoe UI" w:cs="Segoe UI"/>
      <w:sz w:val="18"/>
      <w:szCs w:val="18"/>
    </w:rPr>
  </w:style>
  <w:style w:type="paragraph" w:styleId="Header">
    <w:name w:val="header"/>
    <w:basedOn w:val="Normal"/>
    <w:link w:val="HeaderChar"/>
    <w:uiPriority w:val="99"/>
    <w:unhideWhenUsed/>
    <w:rsid w:val="000110A5"/>
    <w:pPr>
      <w:tabs>
        <w:tab w:val="center" w:pos="4513"/>
        <w:tab w:val="right" w:pos="9026"/>
      </w:tabs>
    </w:pPr>
  </w:style>
  <w:style w:type="character" w:customStyle="1" w:styleId="HeaderChar">
    <w:name w:val="Header Char"/>
    <w:basedOn w:val="DefaultParagraphFont"/>
    <w:link w:val="Header"/>
    <w:uiPriority w:val="99"/>
    <w:rsid w:val="000110A5"/>
  </w:style>
  <w:style w:type="paragraph" w:styleId="Footer">
    <w:name w:val="footer"/>
    <w:basedOn w:val="Normal"/>
    <w:link w:val="FooterChar"/>
    <w:uiPriority w:val="99"/>
    <w:unhideWhenUsed/>
    <w:rsid w:val="000110A5"/>
    <w:pPr>
      <w:tabs>
        <w:tab w:val="center" w:pos="4513"/>
        <w:tab w:val="right" w:pos="9026"/>
      </w:tabs>
    </w:pPr>
  </w:style>
  <w:style w:type="character" w:customStyle="1" w:styleId="FooterChar">
    <w:name w:val="Footer Char"/>
    <w:basedOn w:val="DefaultParagraphFont"/>
    <w:link w:val="Footer"/>
    <w:uiPriority w:val="99"/>
    <w:rsid w:val="000110A5"/>
  </w:style>
  <w:style w:type="character" w:styleId="UnresolvedMention">
    <w:name w:val="Unresolved Mention"/>
    <w:basedOn w:val="DefaultParagraphFont"/>
    <w:uiPriority w:val="99"/>
    <w:semiHidden/>
    <w:unhideWhenUsed/>
    <w:rsid w:val="0017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0545">
      <w:bodyDiv w:val="1"/>
      <w:marLeft w:val="0"/>
      <w:marRight w:val="0"/>
      <w:marTop w:val="0"/>
      <w:marBottom w:val="0"/>
      <w:divBdr>
        <w:top w:val="none" w:sz="0" w:space="0" w:color="auto"/>
        <w:left w:val="none" w:sz="0" w:space="0" w:color="auto"/>
        <w:bottom w:val="none" w:sz="0" w:space="0" w:color="auto"/>
        <w:right w:val="none" w:sz="0" w:space="0" w:color="auto"/>
      </w:divBdr>
    </w:div>
    <w:div w:id="9034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f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Baker</dc:creator>
  <cp:lastModifiedBy>Emily Nurse</cp:lastModifiedBy>
  <cp:revision>2</cp:revision>
  <cp:lastPrinted>2019-05-30T08:40:00Z</cp:lastPrinted>
  <dcterms:created xsi:type="dcterms:W3CDTF">2020-05-28T10:55:00Z</dcterms:created>
  <dcterms:modified xsi:type="dcterms:W3CDTF">2020-05-28T10:55:00Z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CAAE</vt:lpwstr>
  </property>
  <property fmtid="{D5CDD505-2E9C-101B-9397-08002B2CF9AE}" pid="3" name="udp_CMNumber">
    <vt:lpwstr>224044/10118</vt:lpwstr>
  </property>
  <property fmtid="{D5CDD505-2E9C-101B-9397-08002B2CF9AE}" pid="4" name="udp_DeptCode">
    <vt:lpwstr/>
  </property>
  <property fmtid="{D5CDD505-2E9C-101B-9397-08002B2CF9AE}" pid="5" name="udp_DocID">
    <vt:lpwstr>552561345</vt:lpwstr>
  </property>
  <property fmtid="{D5CDD505-2E9C-101B-9397-08002B2CF9AE}" pid="6" name="udp_DocVersion">
    <vt:lpwstr>3</vt:lpwstr>
  </property>
</Properties>
</file>